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56"/>
          <w:szCs w:val="56"/>
        </w:rPr>
      </w:pPr>
    </w:p>
    <w:p>
      <w:pPr>
        <w:pStyle w:val="9"/>
        <w:rPr>
          <w:rFonts w:ascii="Times New Roman" w:hAnsi="Times New Roman" w:cs="Times New Roman"/>
          <w:sz w:val="84"/>
          <w:szCs w:val="84"/>
        </w:rPr>
      </w:pPr>
    </w:p>
    <w:p>
      <w:pPr>
        <w:pStyle w:val="9"/>
        <w:jc w:val="center"/>
        <w:rPr>
          <w:rFonts w:hint="eastAsia"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常德市教育科学研究院</w:t>
      </w: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2021年度部门决算公开</w:t>
      </w:r>
    </w:p>
    <w:p>
      <w:pPr>
        <w:pStyle w:val="9"/>
        <w:jc w:val="center"/>
        <w:rPr>
          <w:rFonts w:ascii="Times New Roman" w:hAnsi="Times New Roman" w:cs="Times New Roman"/>
          <w:sz w:val="56"/>
          <w:szCs w:val="56"/>
        </w:rPr>
      </w:pPr>
    </w:p>
    <w:p>
      <w:pPr>
        <w:pStyle w:val="9"/>
        <w:spacing w:line="600" w:lineRule="exact"/>
        <w:jc w:val="center"/>
        <w:rPr>
          <w:rFonts w:ascii="Times New Roman" w:hAnsi="Times New Roman" w:eastAsia="仿宋_GB2312" w:cs="Times New Roman"/>
          <w:sz w:val="56"/>
          <w:szCs w:val="56"/>
        </w:rPr>
      </w:pPr>
    </w:p>
    <w:p>
      <w:pPr>
        <w:pStyle w:val="9"/>
        <w:spacing w:line="600" w:lineRule="exact"/>
        <w:jc w:val="center"/>
        <w:rPr>
          <w:rFonts w:ascii="Times New Roman" w:hAnsi="Times New Roman" w:eastAsia="仿宋_GB2312" w:cs="Times New Roman"/>
          <w:sz w:val="56"/>
          <w:szCs w:val="56"/>
        </w:rPr>
      </w:pPr>
    </w:p>
    <w:p>
      <w:pPr>
        <w:pStyle w:val="9"/>
        <w:spacing w:line="600" w:lineRule="exact"/>
        <w:jc w:val="center"/>
        <w:rPr>
          <w:rFonts w:ascii="Times New Roman" w:hAnsi="Times New Roman" w:eastAsia="仿宋_GB2312" w:cs="Times New Roman"/>
          <w:sz w:val="32"/>
          <w:szCs w:val="32"/>
        </w:rPr>
      </w:pPr>
    </w:p>
    <w:p>
      <w:pPr>
        <w:pStyle w:val="9"/>
        <w:spacing w:line="600" w:lineRule="exact"/>
        <w:jc w:val="center"/>
        <w:rPr>
          <w:rFonts w:ascii="Times New Roman" w:hAnsi="Times New Roman" w:eastAsia="仿宋_GB2312" w:cs="Times New Roman"/>
          <w:sz w:val="56"/>
          <w:szCs w:val="56"/>
        </w:rPr>
      </w:pPr>
    </w:p>
    <w:p>
      <w:pPr>
        <w:pStyle w:val="9"/>
        <w:spacing w:line="600" w:lineRule="exact"/>
        <w:jc w:val="center"/>
        <w:rPr>
          <w:rFonts w:ascii="Times New Roman" w:hAnsi="Times New Roman" w:eastAsia="方正小标宋简体" w:cs="Times New Roman"/>
          <w:bCs/>
          <w:sz w:val="44"/>
          <w:szCs w:val="44"/>
        </w:rPr>
      </w:pPr>
    </w:p>
    <w:p>
      <w:pPr>
        <w:pStyle w:val="9"/>
        <w:spacing w:line="600" w:lineRule="exact"/>
        <w:rPr>
          <w:rFonts w:hint="eastAsia" w:ascii="Times New Roman" w:hAnsi="Times New Roman" w:eastAsia="方正小标宋简体" w:cs="Times New Roman"/>
          <w:bCs/>
          <w:sz w:val="44"/>
          <w:szCs w:val="44"/>
        </w:rPr>
      </w:pPr>
    </w:p>
    <w:p>
      <w:pPr>
        <w:pStyle w:val="9"/>
        <w:spacing w:line="600" w:lineRule="exact"/>
        <w:jc w:val="center"/>
        <w:rPr>
          <w:rFonts w:hint="eastAsia" w:ascii="Times New Roman" w:hAnsi="Times New Roman" w:eastAsia="方正小标宋简体" w:cs="Times New Roman"/>
          <w:bCs/>
          <w:sz w:val="44"/>
          <w:szCs w:val="44"/>
        </w:rPr>
      </w:pPr>
    </w:p>
    <w:p>
      <w:pPr>
        <w:pStyle w:val="9"/>
        <w:spacing w:line="600" w:lineRule="exact"/>
        <w:rPr>
          <w:rFonts w:hint="eastAsia" w:ascii="Times New Roman" w:hAnsi="Times New Roman" w:eastAsia="方正小标宋简体" w:cs="Times New Roman"/>
          <w:bCs/>
          <w:sz w:val="44"/>
          <w:szCs w:val="44"/>
        </w:rPr>
      </w:pPr>
    </w:p>
    <w:p>
      <w:pPr>
        <w:pStyle w:val="9"/>
        <w:spacing w:line="600" w:lineRule="exact"/>
        <w:rPr>
          <w:rFonts w:hint="eastAsia" w:ascii="Times New Roman" w:hAnsi="Times New Roman" w:eastAsia="方正小标宋简体" w:cs="Times New Roman"/>
          <w:bCs/>
          <w:sz w:val="44"/>
          <w:szCs w:val="44"/>
        </w:rPr>
      </w:pPr>
    </w:p>
    <w:p>
      <w:pPr>
        <w:pStyle w:val="9"/>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目   录</w:t>
      </w:r>
    </w:p>
    <w:p>
      <w:pPr>
        <w:pStyle w:val="9"/>
        <w:spacing w:line="600" w:lineRule="exact"/>
        <w:jc w:val="center"/>
        <w:rPr>
          <w:rFonts w:ascii="Times New Roman" w:hAnsi="Times New Roman" w:eastAsia="方正小标宋简体" w:cs="Times New Roman"/>
          <w:bCs/>
          <w:sz w:val="44"/>
          <w:szCs w:val="44"/>
        </w:rPr>
      </w:pPr>
    </w:p>
    <w:p>
      <w:pPr>
        <w:pStyle w:val="9"/>
        <w:spacing w:line="60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第一部分常德市教育科学研究院单位概况</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一、部门职责</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二、机构设置</w:t>
      </w:r>
    </w:p>
    <w:p>
      <w:pPr>
        <w:pStyle w:val="9"/>
        <w:spacing w:line="60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第二部分2021年度部门决算表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一、收入支出决算总表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二、收入决算表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三、支出决算表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四、财政拨款收入支出决算总表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五、一般公共预算财政拨款支出决算表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六、一般公共预算财政拨款基本支出决算明细表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七、一般公共预算财政拨款“三公”经费支出决算表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八、政府性基金预算财政拨款收入支出决算表</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九、国有资本经营预算财政拨款支出决算表</w:t>
      </w:r>
    </w:p>
    <w:p>
      <w:pPr>
        <w:pStyle w:val="9"/>
        <w:spacing w:line="60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第三部分2021年度部门决算情况说明</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一、收入支出决算总体情况说明</w:t>
      </w:r>
    </w:p>
    <w:p>
      <w:pPr>
        <w:spacing w:line="600" w:lineRule="exact"/>
        <w:ind w:firstLine="700" w:firstLineChars="25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二、收入决算情况说明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三、支出决算情况说明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四、财政拨款收入支出决算总体情况说明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五、一般公共预算财政拨款支出决算情况说明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六、一般公共预算财政拨款基本支出决算情况说明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七、一般公共预算财政拨款“三公”经费支出决算情况说明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八、政府性基金预算收入支出决算情况</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九、机关运行经费支出说明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十、一般性支出情况说明</w:t>
      </w:r>
    </w:p>
    <w:p>
      <w:pPr>
        <w:autoSpaceDE w:val="0"/>
        <w:autoSpaceDN w:val="0"/>
        <w:adjustRightInd w:val="0"/>
        <w:spacing w:line="600" w:lineRule="exact"/>
        <w:ind w:firstLine="700" w:firstLineChars="25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十一、政府采购支出说明</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十二、国有资产占用情况说明</w:t>
      </w:r>
    </w:p>
    <w:p>
      <w:pPr>
        <w:pStyle w:val="9"/>
        <w:spacing w:line="600" w:lineRule="exact"/>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十三、2021年度预算绩效情况说明</w:t>
      </w:r>
    </w:p>
    <w:p>
      <w:pPr>
        <w:autoSpaceDE w:val="0"/>
        <w:autoSpaceDN w:val="0"/>
        <w:adjustRightInd w:val="0"/>
        <w:spacing w:line="600" w:lineRule="exact"/>
        <w:jc w:val="left"/>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第四部分名词解释</w:t>
      </w:r>
    </w:p>
    <w:p>
      <w:pPr>
        <w:autoSpaceDE w:val="0"/>
        <w:autoSpaceDN w:val="0"/>
        <w:adjustRightInd w:val="0"/>
        <w:spacing w:line="600" w:lineRule="exact"/>
        <w:jc w:val="left"/>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第五部分附件</w:t>
      </w:r>
    </w:p>
    <w:p>
      <w:pPr>
        <w:spacing w:line="600" w:lineRule="exact"/>
        <w:jc w:val="center"/>
        <w:rPr>
          <w:rFonts w:ascii="Times New Roman" w:hAnsi="Times New Roman" w:eastAsia="仿宋_GB2312" w:cs="Times New Roman"/>
          <w:sz w:val="72"/>
          <w:szCs w:val="72"/>
        </w:rPr>
      </w:pPr>
    </w:p>
    <w:p>
      <w:pPr>
        <w:spacing w:line="600" w:lineRule="exact"/>
        <w:jc w:val="center"/>
        <w:rPr>
          <w:rFonts w:ascii="Times New Roman" w:hAnsi="Times New Roman" w:eastAsia="仿宋_GB2312"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rPr>
          <w:rFonts w:ascii="Times New Roman" w:hAnsi="Times New Roman" w:cs="Times New Roman"/>
          <w:sz w:val="72"/>
          <w:szCs w:val="72"/>
        </w:rPr>
      </w:pPr>
    </w:p>
    <w:p>
      <w:pPr>
        <w:rPr>
          <w:rFonts w:ascii="Times New Roman" w:hAnsi="Times New Roman" w:cs="Times New Roman"/>
          <w:sz w:val="72"/>
          <w:szCs w:val="72"/>
        </w:rPr>
      </w:pPr>
    </w:p>
    <w:p>
      <w:pPr>
        <w:rPr>
          <w:rFonts w:ascii="Times New Roman" w:hAnsi="Times New Roman" w:cs="Times New Roman"/>
          <w:sz w:val="72"/>
          <w:szCs w:val="72"/>
        </w:rPr>
      </w:pPr>
    </w:p>
    <w:p>
      <w:pPr>
        <w:pStyle w:val="9"/>
        <w:rPr>
          <w:rFonts w:ascii="Times New Roman" w:hAnsi="Times New Roman" w:cs="Times New Roman"/>
          <w:sz w:val="84"/>
          <w:szCs w:val="84"/>
        </w:rPr>
      </w:pPr>
    </w:p>
    <w:p>
      <w:pPr>
        <w:pStyle w:val="9"/>
        <w:jc w:val="center"/>
        <w:rPr>
          <w:rFonts w:ascii="Times New Roman" w:hAnsi="Times New Roman" w:cs="Times New Roman"/>
          <w:sz w:val="84"/>
          <w:szCs w:val="84"/>
        </w:rPr>
      </w:pP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 xml:space="preserve">第一部分 </w:t>
      </w:r>
    </w:p>
    <w:p>
      <w:pPr>
        <w:pStyle w:val="9"/>
        <w:jc w:val="center"/>
        <w:rPr>
          <w:rFonts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常德市教育科学研究院</w:t>
      </w: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单位概况</w:t>
      </w: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pStyle w:val="10"/>
        <w:spacing w:line="600" w:lineRule="exact"/>
        <w:ind w:firstLine="0" w:firstLineChars="0"/>
        <w:jc w:val="left"/>
        <w:rPr>
          <w:rFonts w:ascii="Times New Roman" w:hAnsi="Times New Roman" w:eastAsia="仿宋_GB2312" w:cs="Times New Roman"/>
          <w:sz w:val="32"/>
          <w:szCs w:val="32"/>
        </w:rPr>
      </w:pPr>
    </w:p>
    <w:p>
      <w:pPr>
        <w:pStyle w:val="12"/>
        <w:spacing w:line="600" w:lineRule="exact"/>
        <w:ind w:firstLine="0" w:firstLineChars="0"/>
        <w:jc w:val="left"/>
        <w:rPr>
          <w:rFonts w:ascii="Times New Roman" w:hAnsi="Times New Roman" w:eastAsia="黑体" w:cs="Times New Roman"/>
          <w:sz w:val="32"/>
          <w:szCs w:val="32"/>
        </w:rPr>
      </w:pPr>
    </w:p>
    <w:p>
      <w:pPr>
        <w:pStyle w:val="12"/>
        <w:ind w:firstLine="0" w:firstLineChars="0"/>
        <w:jc w:val="left"/>
        <w:rPr>
          <w:rFonts w:hint="eastAsia" w:ascii="Times New Roman" w:hAnsi="Times New Roman" w:eastAsia="黑体" w:cs="Times New Roman"/>
          <w:sz w:val="32"/>
          <w:szCs w:val="32"/>
        </w:rPr>
      </w:pPr>
    </w:p>
    <w:p>
      <w:pPr>
        <w:pStyle w:val="12"/>
        <w:ind w:firstLine="0" w:firstLineChars="0"/>
        <w:jc w:val="left"/>
        <w:rPr>
          <w:rFonts w:hint="eastAsia" w:ascii="Times New Roman" w:hAnsi="Times New Roman" w:eastAsia="黑体" w:cs="Times New Roman"/>
          <w:sz w:val="32"/>
          <w:szCs w:val="32"/>
        </w:rPr>
      </w:pPr>
    </w:p>
    <w:p>
      <w:pPr>
        <w:pStyle w:val="12"/>
        <w:ind w:firstLine="0" w:firstLineChars="0"/>
        <w:jc w:val="left"/>
        <w:rPr>
          <w:rFonts w:hint="eastAsia" w:ascii="Times New Roman" w:hAnsi="Times New Roman" w:eastAsia="黑体" w:cs="Times New Roman"/>
          <w:sz w:val="32"/>
          <w:szCs w:val="32"/>
        </w:rPr>
      </w:pPr>
    </w:p>
    <w:p>
      <w:pPr>
        <w:pStyle w:val="12"/>
        <w:ind w:firstLine="0" w:firstLineChars="0"/>
        <w:jc w:val="left"/>
        <w:rPr>
          <w:rFonts w:ascii="Times New Roman" w:hAnsi="Times New Roman" w:eastAsia="仿宋_GB2312" w:cs="Times New Roman"/>
          <w:sz w:val="32"/>
          <w:szCs w:val="32"/>
        </w:rPr>
      </w:pPr>
      <w:r>
        <w:rPr>
          <w:rFonts w:ascii="Times New Roman" w:hAnsi="Times New Roman" w:eastAsia="黑体" w:cs="Times New Roman"/>
          <w:sz w:val="32"/>
          <w:szCs w:val="32"/>
        </w:rPr>
        <w:t>一、部门职责</w:t>
      </w:r>
    </w:p>
    <w:p>
      <w:pPr>
        <w:ind w:right="28"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我单位属全额拨款的副处级事业单位，主管部门为常德市教育局。主要负责全市中小学教育教学研究和职业教育教学研究工作，主要工作任务为：</w:t>
      </w:r>
    </w:p>
    <w:p>
      <w:pPr>
        <w:ind w:right="28"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（一）负责制定全市教育教学研究规划并组织实施。</w:t>
      </w:r>
    </w:p>
    <w:p>
      <w:pPr>
        <w:ind w:right="28"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（二）负责开展普通中小学和职业技术教育教学研究工作；负责根据有关政策编辑（编写）和发行地方教材、学报、学刊等教育教学资料；负责及时收集、整理、发布教育信息。</w:t>
      </w:r>
    </w:p>
    <w:p>
      <w:pPr>
        <w:ind w:right="28"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（三）负责指导全市各级各类学校的教育科研和教学研究工作。</w:t>
      </w:r>
    </w:p>
    <w:p>
      <w:pPr>
        <w:ind w:right="28"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（四）负责指导与教育教学研究有关的学会、协会工作。</w:t>
      </w:r>
    </w:p>
    <w:p>
      <w:pPr>
        <w:ind w:right="28"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（五）完成市委、市政府和市教育局交办的其他工作。</w:t>
      </w:r>
    </w:p>
    <w:p>
      <w:pPr>
        <w:widowControl/>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二、机构设置及决算单位构成</w:t>
      </w:r>
    </w:p>
    <w:p>
      <w:pPr>
        <w:widowControl/>
        <w:rPr>
          <w:rFonts w:ascii="Times New Roman" w:hAnsi="Times New Roman" w:eastAsia="仿宋" w:cs="Times New Roman"/>
          <w:kern w:val="0"/>
          <w:sz w:val="32"/>
          <w:szCs w:val="32"/>
        </w:rPr>
      </w:pPr>
      <w:r>
        <w:rPr>
          <w:rFonts w:ascii="Times New Roman" w:hAnsi="Times New Roman" w:eastAsia="仿宋_GB2312" w:cs="Times New Roman"/>
          <w:bCs/>
          <w:kern w:val="0"/>
          <w:sz w:val="32"/>
          <w:szCs w:val="32"/>
        </w:rPr>
        <w:t xml:space="preserve">    （一）内设机构设置。</w:t>
      </w:r>
      <w:r>
        <w:rPr>
          <w:rFonts w:ascii="Times New Roman" w:hAnsi="Times New Roman" w:eastAsia="仿宋" w:cs="Times New Roman"/>
          <w:kern w:val="0"/>
          <w:sz w:val="32"/>
          <w:szCs w:val="32"/>
        </w:rPr>
        <w:t>根据市编委办核定，本单位内设科室五个，所属事业单位0个全部纳入2021年度部门决算编制范围。</w:t>
      </w:r>
    </w:p>
    <w:p>
      <w:pPr>
        <w:ind w:right="28" w:firstLine="640"/>
        <w:rPr>
          <w:rFonts w:ascii="Times New Roman" w:hAnsi="Times New Roman" w:eastAsia="仿宋" w:cs="Times New Roman"/>
          <w:sz w:val="32"/>
          <w:szCs w:val="32"/>
        </w:rPr>
      </w:pPr>
      <w:r>
        <w:rPr>
          <w:rFonts w:ascii="Times New Roman" w:hAnsi="Times New Roman" w:eastAsia="仿宋" w:cs="Times New Roman"/>
          <w:kern w:val="0"/>
          <w:sz w:val="32"/>
          <w:szCs w:val="32"/>
        </w:rPr>
        <w:t>内设科室分别是：</w:t>
      </w:r>
      <w:r>
        <w:rPr>
          <w:rFonts w:ascii="Times New Roman" w:hAnsi="Times New Roman" w:eastAsia="仿宋" w:cs="Times New Roman"/>
          <w:sz w:val="32"/>
          <w:szCs w:val="32"/>
        </w:rPr>
        <w:t>中学教研室、小学教研室、职业教育研究室、规划与发展研究室、办公室。</w:t>
      </w:r>
    </w:p>
    <w:p>
      <w:pPr>
        <w:widowControl/>
        <w:ind w:firstLine="630"/>
        <w:rPr>
          <w:rFonts w:ascii="Times New Roman" w:hAnsi="Times New Roman" w:eastAsia="仿宋" w:cs="Times New Roman"/>
          <w:sz w:val="32"/>
          <w:szCs w:val="32"/>
        </w:rPr>
      </w:pPr>
      <w:r>
        <w:rPr>
          <w:rFonts w:ascii="Times New Roman" w:hAnsi="Times New Roman" w:eastAsia="仿宋" w:cs="Times New Roman"/>
          <w:kern w:val="0"/>
          <w:sz w:val="32"/>
          <w:szCs w:val="32"/>
        </w:rPr>
        <w:t>所属事业单位分别是：</w:t>
      </w:r>
      <w:r>
        <w:rPr>
          <w:rFonts w:ascii="Times New Roman" w:hAnsi="Times New Roman" w:eastAsia="仿宋" w:cs="Times New Roman"/>
          <w:sz w:val="32"/>
          <w:szCs w:val="32"/>
        </w:rPr>
        <w:t>无所属事业单位。</w:t>
      </w:r>
    </w:p>
    <w:p>
      <w:pPr>
        <w:widowControl/>
        <w:ind w:firstLine="629"/>
        <w:rPr>
          <w:rFonts w:ascii="Times New Roman" w:hAnsi="Times New Roman" w:eastAsia="仿宋" w:cs="Times New Roman"/>
          <w:i/>
          <w:color w:val="FF0000"/>
          <w:kern w:val="0"/>
          <w:sz w:val="32"/>
          <w:szCs w:val="32"/>
        </w:rPr>
      </w:pPr>
      <w:r>
        <w:rPr>
          <w:rFonts w:ascii="Times New Roman" w:hAnsi="Times New Roman" w:eastAsia="仿宋_GB2312" w:cs="Times New Roman"/>
          <w:bCs/>
          <w:kern w:val="0"/>
          <w:sz w:val="32"/>
          <w:szCs w:val="32"/>
        </w:rPr>
        <w:t>（二）决算单位构成。</w:t>
      </w:r>
      <w:r>
        <w:rPr>
          <w:rFonts w:ascii="Times New Roman" w:hAnsi="Times New Roman" w:eastAsia="仿宋" w:cs="Times New Roman"/>
          <w:bCs/>
          <w:kern w:val="0"/>
          <w:sz w:val="32"/>
          <w:szCs w:val="32"/>
        </w:rPr>
        <w:t>本单位2021年部门决算汇总公开单位构成包括：本单位无所属预算单位，故2021年部门决算编制范围的为常德市教育科学研究院本级。</w:t>
      </w:r>
    </w:p>
    <w:p>
      <w:pPr>
        <w:spacing w:line="600" w:lineRule="exact"/>
        <w:jc w:val="left"/>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pStyle w:val="9"/>
        <w:jc w:val="center"/>
        <w:rPr>
          <w:rFonts w:ascii="Times New Roman" w:hAnsi="Times New Roman" w:cs="Times New Roman"/>
          <w:sz w:val="56"/>
          <w:szCs w:val="56"/>
        </w:rPr>
      </w:pPr>
    </w:p>
    <w:p>
      <w:pPr>
        <w:pStyle w:val="9"/>
        <w:jc w:val="center"/>
        <w:rPr>
          <w:rFonts w:ascii="Times New Roman" w:hAnsi="Times New Roman" w:cs="Times New Roman"/>
          <w:sz w:val="56"/>
          <w:szCs w:val="56"/>
        </w:rPr>
      </w:pPr>
    </w:p>
    <w:p>
      <w:pPr>
        <w:pStyle w:val="9"/>
        <w:jc w:val="center"/>
        <w:rPr>
          <w:rFonts w:ascii="Times New Roman" w:hAnsi="Times New Roman" w:cs="Times New Roman"/>
          <w:sz w:val="84"/>
          <w:szCs w:val="84"/>
        </w:rPr>
      </w:pPr>
    </w:p>
    <w:p>
      <w:pPr>
        <w:pStyle w:val="9"/>
        <w:jc w:val="center"/>
        <w:rPr>
          <w:rFonts w:ascii="Times New Roman" w:hAnsi="Times New Roman" w:cs="Times New Roman"/>
          <w:sz w:val="84"/>
          <w:szCs w:val="84"/>
        </w:rPr>
      </w:pPr>
    </w:p>
    <w:p>
      <w:pPr>
        <w:pStyle w:val="9"/>
        <w:jc w:val="center"/>
        <w:rPr>
          <w:rFonts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第二部分</w:t>
      </w:r>
    </w:p>
    <w:p>
      <w:pPr>
        <w:pStyle w:val="9"/>
        <w:jc w:val="center"/>
        <w:rPr>
          <w:rFonts w:ascii="Times New Roman" w:hAnsi="Times New Roman" w:eastAsia="方正小标宋简体" w:cs="Times New Roman"/>
          <w:sz w:val="84"/>
          <w:szCs w:val="84"/>
        </w:rPr>
      </w:pPr>
    </w:p>
    <w:p>
      <w:pPr>
        <w:pStyle w:val="9"/>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部门决算表</w:t>
      </w:r>
    </w:p>
    <w:p>
      <w:pPr>
        <w:widowControl/>
        <w:spacing w:line="600" w:lineRule="exact"/>
        <w:rPr>
          <w:rFonts w:ascii="Times New Roman" w:hAnsi="Times New Roman" w:cs="Times New Roman"/>
          <w:i/>
          <w:color w:val="FF0000"/>
          <w:kern w:val="0"/>
          <w:sz w:val="32"/>
          <w:szCs w:val="32"/>
        </w:rPr>
      </w:pPr>
    </w:p>
    <w:p>
      <w:pPr>
        <w:jc w:val="center"/>
        <w:rPr>
          <w:rFonts w:ascii="Times New Roman" w:hAnsi="Times New Roman" w:cs="Times New Roman"/>
          <w:sz w:val="72"/>
          <w:szCs w:val="72"/>
        </w:rPr>
      </w:pPr>
    </w:p>
    <w:p>
      <w:pPr>
        <w:jc w:val="left"/>
        <w:rPr>
          <w:rFonts w:ascii="Times New Roman" w:hAnsi="Times New Roman" w:cs="Times New Roman"/>
          <w:sz w:val="32"/>
          <w:szCs w:val="32"/>
        </w:rPr>
        <w:sectPr>
          <w:pgSz w:w="11906" w:h="16838"/>
          <w:pgMar w:top="2154" w:right="1531" w:bottom="2154" w:left="1531" w:header="851" w:footer="992" w:gutter="0"/>
          <w:cols w:space="0" w:num="1"/>
          <w:docGrid w:type="lines" w:linePitch="313" w:charSpace="0"/>
        </w:sectPr>
      </w:pPr>
    </w:p>
    <w:tbl>
      <w:tblPr>
        <w:tblStyle w:val="5"/>
        <w:tblW w:w="14081" w:type="dxa"/>
        <w:tblInd w:w="93" w:type="dxa"/>
        <w:tblLayout w:type="fixed"/>
        <w:tblCellMar>
          <w:top w:w="0" w:type="dxa"/>
          <w:left w:w="108" w:type="dxa"/>
          <w:bottom w:w="0" w:type="dxa"/>
          <w:right w:w="108" w:type="dxa"/>
        </w:tblCellMar>
      </w:tblPr>
      <w:tblGrid>
        <w:gridCol w:w="4124"/>
        <w:gridCol w:w="569"/>
        <w:gridCol w:w="510"/>
        <w:gridCol w:w="599"/>
        <w:gridCol w:w="98"/>
        <w:gridCol w:w="236"/>
        <w:gridCol w:w="3467"/>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36"/>
                <w:szCs w:val="36"/>
              </w:rPr>
              <w:t>收入支出决算总表</w:t>
            </w:r>
          </w:p>
        </w:tc>
      </w:tr>
      <w:tr>
        <w:tblPrEx>
          <w:tblCellMar>
            <w:top w:w="0" w:type="dxa"/>
            <w:left w:w="108" w:type="dxa"/>
            <w:bottom w:w="0" w:type="dxa"/>
            <w:right w:w="108" w:type="dxa"/>
          </w:tblCellMar>
        </w:tblPrEx>
        <w:trPr>
          <w:trHeight w:val="199" w:hRule="atLeast"/>
        </w:trPr>
        <w:tc>
          <w:tcPr>
            <w:tcW w:w="5203" w:type="dxa"/>
            <w:gridSpan w:val="3"/>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697"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3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5772" w:type="dxa"/>
            <w:gridSpan w:val="3"/>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657"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1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公开01表</w:t>
            </w:r>
          </w:p>
        </w:tc>
      </w:tr>
      <w:tr>
        <w:tblPrEx>
          <w:tblCellMar>
            <w:top w:w="0" w:type="dxa"/>
            <w:left w:w="108" w:type="dxa"/>
            <w:bottom w:w="0" w:type="dxa"/>
            <w:right w:w="108" w:type="dxa"/>
          </w:tblCellMar>
        </w:tblPrEx>
        <w:trPr>
          <w:trHeight w:val="300" w:hRule="atLeast"/>
        </w:trPr>
        <w:tc>
          <w:tcPr>
            <w:tcW w:w="5203" w:type="dxa"/>
            <w:gridSpan w:val="3"/>
            <w:tcBorders>
              <w:top w:val="nil"/>
              <w:left w:val="nil"/>
              <w:bottom w:val="nil"/>
              <w:right w:val="nil"/>
            </w:tcBorders>
            <w:shd w:val="clear" w:color="000000" w:fill="FFFFFF"/>
            <w:vAlign w:val="center"/>
          </w:tcPr>
          <w:p>
            <w:pPr>
              <w:widowControl/>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部门： 常德市教育科学研究院</w:t>
            </w:r>
          </w:p>
        </w:tc>
        <w:tc>
          <w:tcPr>
            <w:tcW w:w="697"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3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5772" w:type="dxa"/>
            <w:gridSpan w:val="3"/>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657"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1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单位：万元</w:t>
            </w:r>
          </w:p>
        </w:tc>
      </w:tr>
      <w:tr>
        <w:tblPrEx>
          <w:tblCellMar>
            <w:top w:w="0" w:type="dxa"/>
            <w:left w:w="108" w:type="dxa"/>
            <w:bottom w:w="0" w:type="dxa"/>
            <w:right w:w="108" w:type="dxa"/>
          </w:tblCellMar>
        </w:tblPrEx>
        <w:trPr>
          <w:trHeight w:val="340" w:hRule="atLeast"/>
        </w:trPr>
        <w:tc>
          <w:tcPr>
            <w:tcW w:w="580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收入</w:t>
            </w:r>
          </w:p>
        </w:tc>
        <w:tc>
          <w:tcPr>
            <w:tcW w:w="8279"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支出</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项    目</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行次</w:t>
            </w:r>
          </w:p>
        </w:tc>
        <w:tc>
          <w:tcPr>
            <w:tcW w:w="110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决算数</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决算数</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栏    次</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10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一、一般公共预算财政拨款收入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808.18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二、政府性基金预算财政拨款收入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三、国有资本经营预算财政拨款收入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四、上级补助收入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五、事业收入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731.66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六、经营收入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14.68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七、附属单位上缴收入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53.01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八、其他收入</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 w:val="22"/>
              </w:rPr>
            </w:pPr>
            <w:r>
              <w:rPr>
                <w:rFonts w:ascii="Times New Roman" w:hAnsi="Times New Roman" w:eastAsia="仿宋_GB2312" w:cs="Times New Roman"/>
                <w:kern w:val="0"/>
                <w:sz w:val="22"/>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29.51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本年收入合计</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808.18　</w:t>
            </w:r>
          </w:p>
        </w:tc>
        <w:tc>
          <w:tcPr>
            <w:tcW w:w="3801"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828.86</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使用非财政拨款结余</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01"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年初结转和结余</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62.77　</w:t>
            </w:r>
          </w:p>
        </w:tc>
        <w:tc>
          <w:tcPr>
            <w:tcW w:w="3801"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42.09</w:t>
            </w:r>
          </w:p>
        </w:tc>
      </w:tr>
      <w:tr>
        <w:tblPrEx>
          <w:tblCellMar>
            <w:top w:w="0" w:type="dxa"/>
            <w:left w:w="108" w:type="dxa"/>
            <w:bottom w:w="0" w:type="dxa"/>
            <w:right w:w="108" w:type="dxa"/>
          </w:tblCellMar>
        </w:tblPrEx>
        <w:trPr>
          <w:trHeight w:val="340" w:hRule="atLeast"/>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总计</w:t>
            </w:r>
          </w:p>
        </w:tc>
        <w:tc>
          <w:tcPr>
            <w:tcW w:w="5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w:t>
            </w:r>
          </w:p>
        </w:tc>
        <w:tc>
          <w:tcPr>
            <w:tcW w:w="110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870.95　</w:t>
            </w:r>
          </w:p>
        </w:tc>
        <w:tc>
          <w:tcPr>
            <w:tcW w:w="380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Cs/>
                <w:kern w:val="0"/>
                <w:sz w:val="22"/>
              </w:rPr>
            </w:pPr>
            <w:r>
              <w:rPr>
                <w:rFonts w:ascii="Times New Roman" w:hAnsi="Times New Roman" w:eastAsia="仿宋_GB2312" w:cs="Times New Roman"/>
                <w:bCs/>
                <w:kern w:val="0"/>
                <w:sz w:val="22"/>
              </w:rPr>
              <w:t>　870.95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注：1.本表反映部门本年度的总收支和年末结转结余情况。</w:t>
            </w:r>
            <w:r>
              <w:rPr>
                <w:rFonts w:ascii="Times New Roman" w:hAnsi="Times New Roman" w:eastAsia="仿宋_GB2312" w:cs="Times New Roman"/>
                <w:kern w:val="0"/>
                <w:sz w:val="22"/>
              </w:rPr>
              <w:br w:type="textWrapping"/>
            </w:r>
            <w:r>
              <w:rPr>
                <w:rFonts w:ascii="Times New Roman" w:hAnsi="Times New Roman" w:eastAsia="仿宋_GB2312" w:cs="Times New Roman"/>
                <w:kern w:val="0"/>
                <w:sz w:val="22"/>
              </w:rPr>
              <w:t xml:space="preserve">    2.本套报表金额单位转换时可能存在尾数误差。</w:t>
            </w:r>
          </w:p>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3.本表数据来源于部门决算报表Z01收入支出决算总表。</w:t>
            </w:r>
          </w:p>
        </w:tc>
      </w:tr>
    </w:tbl>
    <w:p>
      <w:pPr>
        <w:rPr>
          <w:rFonts w:ascii="Times New Roman" w:hAnsi="Times New Roman" w:eastAsia="黑体" w:cs="Times New Roman"/>
          <w:sz w:val="28"/>
          <w:szCs w:val="28"/>
        </w:rPr>
        <w:sectPr>
          <w:pgSz w:w="16838" w:h="11906" w:orient="landscape"/>
          <w:pgMar w:top="1797" w:right="1440" w:bottom="1797" w:left="1440" w:header="851" w:footer="992" w:gutter="0"/>
          <w:cols w:space="0" w:num="1"/>
          <w:docGrid w:type="linesAndChars" w:linePitch="312" w:charSpace="0"/>
        </w:sectPr>
      </w:pPr>
    </w:p>
    <w:tbl>
      <w:tblPr>
        <w:tblStyle w:val="5"/>
        <w:tblW w:w="14402" w:type="dxa"/>
        <w:jc w:val="center"/>
        <w:tblLayout w:type="fixed"/>
        <w:tblCellMar>
          <w:top w:w="0" w:type="dxa"/>
          <w:left w:w="0" w:type="dxa"/>
          <w:bottom w:w="0" w:type="dxa"/>
          <w:right w:w="0" w:type="dxa"/>
        </w:tblCellMar>
      </w:tblPr>
      <w:tblGrid>
        <w:gridCol w:w="315"/>
        <w:gridCol w:w="605"/>
        <w:gridCol w:w="2410"/>
        <w:gridCol w:w="1559"/>
        <w:gridCol w:w="1701"/>
        <w:gridCol w:w="1417"/>
        <w:gridCol w:w="1418"/>
        <w:gridCol w:w="1276"/>
        <w:gridCol w:w="2126"/>
        <w:gridCol w:w="1575"/>
      </w:tblGrid>
      <w:tr>
        <w:tblPrEx>
          <w:tblCellMar>
            <w:top w:w="0" w:type="dxa"/>
            <w:left w:w="0" w:type="dxa"/>
            <w:bottom w:w="0" w:type="dxa"/>
            <w:right w:w="0" w:type="dxa"/>
          </w:tblCellMar>
        </w:tblPrEx>
        <w:trPr>
          <w:trHeight w:val="435" w:hRule="atLeast"/>
          <w:jc w:val="center"/>
        </w:trPr>
        <w:tc>
          <w:tcPr>
            <w:tcW w:w="14402"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收入决算表</w:t>
            </w:r>
          </w:p>
        </w:tc>
      </w:tr>
      <w:tr>
        <w:tblPrEx>
          <w:tblCellMar>
            <w:top w:w="0" w:type="dxa"/>
            <w:left w:w="0" w:type="dxa"/>
            <w:bottom w:w="0" w:type="dxa"/>
            <w:right w:w="0" w:type="dxa"/>
          </w:tblCellMar>
        </w:tblPrEx>
        <w:trPr>
          <w:trHeight w:val="285" w:hRule="atLeast"/>
          <w:jc w:val="center"/>
        </w:trPr>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6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241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55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70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41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41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27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212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575" w:type="dxa"/>
            <w:tcBorders>
              <w:top w:val="nil"/>
              <w:left w:val="nil"/>
              <w:bottom w:val="nil"/>
              <w:right w:val="nil"/>
            </w:tcBorders>
            <w:shd w:val="clear" w:color="000000" w:fill="FFFFFF"/>
            <w:tcMar>
              <w:top w:w="15" w:type="dxa"/>
              <w:left w:w="15" w:type="dxa"/>
              <w:bottom w:w="0" w:type="dxa"/>
              <w:right w:w="15" w:type="dxa"/>
            </w:tcMar>
            <w:vAlign w:val="center"/>
          </w:tcPr>
          <w:p>
            <w:pPr>
              <w:ind w:right="210"/>
              <w:jc w:val="righ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公开02表</w:t>
            </w:r>
          </w:p>
        </w:tc>
      </w:tr>
      <w:tr>
        <w:tblPrEx>
          <w:tblCellMar>
            <w:top w:w="0" w:type="dxa"/>
            <w:left w:w="0" w:type="dxa"/>
            <w:bottom w:w="0" w:type="dxa"/>
            <w:right w:w="0" w:type="dxa"/>
          </w:tblCellMar>
        </w:tblPrEx>
        <w:trPr>
          <w:trHeight w:val="285" w:hRule="atLeast"/>
          <w:jc w:val="center"/>
        </w:trPr>
        <w:tc>
          <w:tcPr>
            <w:tcW w:w="14402" w:type="dxa"/>
            <w:gridSpan w:val="10"/>
            <w:tcBorders>
              <w:top w:val="nil"/>
              <w:left w:val="nil"/>
              <w:bottom w:val="nil"/>
              <w:right w:val="nil"/>
            </w:tcBorders>
            <w:shd w:val="clear" w:color="000000" w:fill="FFFFFF"/>
            <w:tcMar>
              <w:top w:w="15" w:type="dxa"/>
              <w:left w:w="15" w:type="dxa"/>
              <w:bottom w:w="0" w:type="dxa"/>
              <w:right w:w="15" w:type="dxa"/>
            </w:tcMar>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部门：常</w:t>
            </w:r>
            <w:r>
              <w:rPr>
                <w:rFonts w:ascii="Times New Roman" w:hAnsi="Times New Roman" w:eastAsia="仿宋_GB2312" w:cs="Times New Roman"/>
                <w:szCs w:val="21"/>
              </w:rPr>
              <w:t>德市教育科学研究院　　　　　　　　　　　　　　　　　　　　　　　　　　　　　　　　　　　　　　　　　　　　　　　　　　</w:t>
            </w:r>
            <w:r>
              <w:rPr>
                <w:rFonts w:ascii="Times New Roman" w:hAnsi="Times New Roman" w:eastAsia="仿宋_GB2312" w:cs="Times New Roman"/>
                <w:color w:val="000000"/>
                <w:szCs w:val="21"/>
              </w:rPr>
              <w:t>单位：万元</w:t>
            </w:r>
          </w:p>
        </w:tc>
      </w:tr>
      <w:tr>
        <w:tblPrEx>
          <w:tblCellMar>
            <w:top w:w="0" w:type="dxa"/>
            <w:left w:w="0" w:type="dxa"/>
            <w:bottom w:w="0" w:type="dxa"/>
            <w:right w:w="0" w:type="dxa"/>
          </w:tblCellMar>
        </w:tblPrEx>
        <w:trPr>
          <w:trHeight w:val="450" w:hRule="atLeast"/>
          <w:jc w:val="center"/>
        </w:trPr>
        <w:tc>
          <w:tcPr>
            <w:tcW w:w="333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项    目</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本年收入合计</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财政拨款收入</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上级补助收入</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经营收入</w:t>
            </w:r>
          </w:p>
        </w:tc>
        <w:tc>
          <w:tcPr>
            <w:tcW w:w="212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附属单位上缴收入</w:t>
            </w:r>
          </w:p>
        </w:tc>
        <w:tc>
          <w:tcPr>
            <w:tcW w:w="15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其他收入</w:t>
            </w:r>
          </w:p>
        </w:tc>
      </w:tr>
      <w:tr>
        <w:tblPrEx>
          <w:tblCellMar>
            <w:top w:w="0" w:type="dxa"/>
            <w:left w:w="0" w:type="dxa"/>
            <w:bottom w:w="0" w:type="dxa"/>
            <w:right w:w="0" w:type="dxa"/>
          </w:tblCellMar>
        </w:tblPrEx>
        <w:trPr>
          <w:trHeight w:val="630" w:hRule="atLeast"/>
          <w:jc w:val="center"/>
        </w:trPr>
        <w:tc>
          <w:tcPr>
            <w:tcW w:w="9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功能分类科目编码</w:t>
            </w:r>
          </w:p>
        </w:tc>
        <w:tc>
          <w:tcPr>
            <w:tcW w:w="241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科目名称</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r>
      <w:tr>
        <w:tblPrEx>
          <w:tblCellMar>
            <w:top w:w="0" w:type="dxa"/>
            <w:left w:w="0" w:type="dxa"/>
            <w:bottom w:w="0" w:type="dxa"/>
            <w:right w:w="0" w:type="dxa"/>
          </w:tblCellMar>
        </w:tblPrEx>
        <w:trPr>
          <w:trHeight w:val="630" w:hRule="atLeast"/>
          <w:jc w:val="center"/>
        </w:trPr>
        <w:tc>
          <w:tcPr>
            <w:tcW w:w="9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241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rPr>
            </w:pPr>
          </w:p>
        </w:tc>
      </w:tr>
      <w:tr>
        <w:tblPrEx>
          <w:tblCellMar>
            <w:top w:w="0" w:type="dxa"/>
            <w:left w:w="0" w:type="dxa"/>
            <w:bottom w:w="0" w:type="dxa"/>
            <w:right w:w="0" w:type="dxa"/>
          </w:tblCellMar>
        </w:tblPrEx>
        <w:trPr>
          <w:trHeight w:val="450" w:hRule="atLeast"/>
          <w:jc w:val="center"/>
        </w:trPr>
        <w:tc>
          <w:tcPr>
            <w:tcW w:w="333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栏次</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70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41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41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212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57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7</w:t>
            </w:r>
          </w:p>
        </w:tc>
      </w:tr>
      <w:tr>
        <w:tblPrEx>
          <w:tblCellMar>
            <w:top w:w="0" w:type="dxa"/>
            <w:left w:w="0" w:type="dxa"/>
            <w:bottom w:w="0" w:type="dxa"/>
            <w:right w:w="0" w:type="dxa"/>
          </w:tblCellMar>
        </w:tblPrEx>
        <w:trPr>
          <w:trHeight w:val="450" w:hRule="atLeast"/>
          <w:jc w:val="center"/>
        </w:trPr>
        <w:tc>
          <w:tcPr>
            <w:tcW w:w="333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22"/>
              </w:rPr>
            </w:pPr>
            <w:r>
              <w:rPr>
                <w:rFonts w:ascii="Times New Roman" w:hAnsi="Times New Roman" w:eastAsia="仿宋_GB2312" w:cs="Times New Roman"/>
                <w:sz w:val="22"/>
              </w:rPr>
              <w:t>808.18　</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22"/>
              </w:rPr>
            </w:pPr>
            <w:r>
              <w:rPr>
                <w:rFonts w:ascii="Times New Roman" w:hAnsi="Times New Roman" w:eastAsia="仿宋_GB2312" w:cs="Times New Roman"/>
                <w:sz w:val="22"/>
              </w:rPr>
              <w:t>808.18　</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教育支出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725.66</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725.66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20501</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教育管理事务</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2050199</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其他教育管理事务支出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20502</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普通教育</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2050299</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其他普通教育支出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20509</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教育费附加安排的支出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186.83</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186.83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2050999</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其他教育费附加安排的支出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186.83</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186.83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20599</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其他教育支出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2059999</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其他教育支出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208</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社会保障和就业支出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20805</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行政事业单位养老支出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2080502</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事业单位离退休</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　</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221</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住房保障支出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22102</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住房改革支出</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450" w:hRule="atLeast"/>
          <w:jc w:val="center"/>
        </w:trPr>
        <w:tc>
          <w:tcPr>
            <w:tcW w:w="92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2210201</w:t>
            </w:r>
          </w:p>
        </w:tc>
        <w:tc>
          <w:tcPr>
            <w:tcW w:w="241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tcPr>
          <w:p>
            <w:pPr>
              <w:rPr>
                <w:rFonts w:ascii="Times New Roman" w:hAnsi="Times New Roman" w:cs="Times New Roman"/>
                <w:sz w:val="18"/>
                <w:szCs w:val="18"/>
              </w:rPr>
            </w:pPr>
            <w:r>
              <w:rPr>
                <w:rFonts w:ascii="Times New Roman" w:hAnsi="Times New Roman" w:cs="Times New Roman"/>
                <w:sz w:val="18"/>
                <w:szCs w:val="18"/>
              </w:rPr>
              <w:t xml:space="preserve">  住房公积金</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2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212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c>
          <w:tcPr>
            <w:tcW w:w="15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_GB2312" w:cs="Times New Roman"/>
                <w:sz w:val="18"/>
                <w:szCs w:val="18"/>
              </w:rPr>
            </w:pPr>
          </w:p>
        </w:tc>
      </w:tr>
      <w:tr>
        <w:tblPrEx>
          <w:tblCellMar>
            <w:top w:w="0" w:type="dxa"/>
            <w:left w:w="0" w:type="dxa"/>
            <w:bottom w:w="0" w:type="dxa"/>
            <w:right w:w="0" w:type="dxa"/>
          </w:tblCellMar>
        </w:tblPrEx>
        <w:trPr>
          <w:trHeight w:val="615" w:hRule="atLeast"/>
          <w:jc w:val="center"/>
        </w:trPr>
        <w:tc>
          <w:tcPr>
            <w:tcW w:w="1440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仿宋_GB2312" w:cs="Times New Roman"/>
                <w:szCs w:val="21"/>
              </w:rPr>
            </w:pPr>
            <w:r>
              <w:rPr>
                <w:rFonts w:ascii="Times New Roman" w:hAnsi="Times New Roman" w:eastAsia="仿宋_GB2312" w:cs="Times New Roman"/>
                <w:szCs w:val="21"/>
              </w:rPr>
              <w:t>注：1</w:t>
            </w:r>
            <w:r>
              <w:rPr>
                <w:rFonts w:ascii="Times New Roman" w:hAnsi="Times New Roman" w:eastAsia="仿宋_GB2312" w:cs="Times New Roman"/>
                <w:kern w:val="0"/>
                <w:szCs w:val="21"/>
              </w:rPr>
              <w:t>.</w:t>
            </w:r>
            <w:r>
              <w:rPr>
                <w:rFonts w:ascii="Times New Roman" w:hAnsi="Times New Roman" w:eastAsia="仿宋_GB2312" w:cs="Times New Roman"/>
                <w:szCs w:val="21"/>
              </w:rPr>
              <w:t>本表反映部门本年度取得的各项收入情况，细化公开到功能分类项级科目。</w:t>
            </w:r>
          </w:p>
          <w:p>
            <w:pPr>
              <w:rPr>
                <w:rFonts w:ascii="Times New Roman" w:hAnsi="Times New Roman" w:eastAsia="仿宋_GB2312" w:cs="Times New Roman"/>
                <w:szCs w:val="21"/>
              </w:rPr>
            </w:pPr>
            <w:r>
              <w:rPr>
                <w:rFonts w:ascii="Times New Roman" w:hAnsi="Times New Roman" w:eastAsia="仿宋_GB2312" w:cs="Times New Roman"/>
                <w:szCs w:val="21"/>
              </w:rPr>
              <w:t xml:space="preserve">    2</w:t>
            </w:r>
            <w:r>
              <w:rPr>
                <w:rFonts w:ascii="Times New Roman" w:hAnsi="Times New Roman" w:eastAsia="仿宋_GB2312" w:cs="Times New Roman"/>
                <w:kern w:val="0"/>
                <w:szCs w:val="21"/>
              </w:rPr>
              <w:t>.</w:t>
            </w:r>
            <w:r>
              <w:rPr>
                <w:rFonts w:ascii="Times New Roman" w:hAnsi="Times New Roman" w:eastAsia="仿宋_GB2312" w:cs="Times New Roman"/>
                <w:szCs w:val="21"/>
              </w:rPr>
              <w:t>本表数据来源于部门决算报表Z03收入决算表。</w:t>
            </w:r>
          </w:p>
        </w:tc>
      </w:tr>
    </w:tbl>
    <w:p>
      <w:pPr>
        <w:widowControl/>
        <w:jc w:val="left"/>
        <w:rPr>
          <w:rFonts w:ascii="Times New Roman" w:hAnsi="Times New Roman" w:eastAsia="黑体" w:cs="Times New Roman"/>
          <w:bCs/>
          <w:kern w:val="0"/>
          <w:szCs w:val="21"/>
        </w:rPr>
      </w:pPr>
      <w:r>
        <w:rPr>
          <w:rFonts w:ascii="Times New Roman" w:hAnsi="Times New Roman" w:eastAsia="仿宋_GB2312" w:cs="Times New Roman"/>
          <w:bCs/>
          <w:kern w:val="0"/>
          <w:szCs w:val="21"/>
        </w:rPr>
        <w:t xml:space="preserve"> </w:t>
      </w:r>
      <w:r>
        <w:rPr>
          <w:rFonts w:ascii="Times New Roman" w:hAnsi="Times New Roman" w:eastAsia="仿宋_GB2312" w:cs="Times New Roman"/>
          <w:bCs/>
          <w:kern w:val="0"/>
          <w:szCs w:val="21"/>
        </w:rPr>
        <w:br w:type="page"/>
      </w:r>
    </w:p>
    <w:tbl>
      <w:tblPr>
        <w:tblStyle w:val="5"/>
        <w:tblW w:w="13302" w:type="dxa"/>
        <w:jc w:val="center"/>
        <w:tblLayout w:type="fixed"/>
        <w:tblCellMar>
          <w:top w:w="0" w:type="dxa"/>
          <w:left w:w="108" w:type="dxa"/>
          <w:bottom w:w="0" w:type="dxa"/>
          <w:right w:w="108" w:type="dxa"/>
        </w:tblCellMar>
      </w:tblPr>
      <w:tblGrid>
        <w:gridCol w:w="1161"/>
        <w:gridCol w:w="236"/>
        <w:gridCol w:w="1248"/>
        <w:gridCol w:w="843"/>
        <w:gridCol w:w="907"/>
        <w:gridCol w:w="653"/>
        <w:gridCol w:w="918"/>
        <w:gridCol w:w="783"/>
        <w:gridCol w:w="894"/>
        <w:gridCol w:w="523"/>
        <w:gridCol w:w="1154"/>
        <w:gridCol w:w="405"/>
        <w:gridCol w:w="1272"/>
        <w:gridCol w:w="571"/>
        <w:gridCol w:w="1615"/>
        <w:gridCol w:w="119"/>
      </w:tblGrid>
      <w:tr>
        <w:tblPrEx>
          <w:tblCellMar>
            <w:top w:w="0" w:type="dxa"/>
            <w:left w:w="108" w:type="dxa"/>
            <w:bottom w:w="0" w:type="dxa"/>
            <w:right w:w="108" w:type="dxa"/>
          </w:tblCellMar>
        </w:tblPrEx>
        <w:trPr>
          <w:gridAfter w:val="1"/>
          <w:wAfter w:w="119" w:type="dxa"/>
          <w:trHeight w:val="90" w:hRule="atLeast"/>
          <w:jc w:val="center"/>
        </w:trPr>
        <w:tc>
          <w:tcPr>
            <w:tcW w:w="13183" w:type="dxa"/>
            <w:gridSpan w:val="15"/>
            <w:tcBorders>
              <w:top w:val="nil"/>
              <w:left w:val="nil"/>
              <w:bottom w:val="nil"/>
              <w:right w:val="nil"/>
            </w:tcBorders>
            <w:shd w:val="clear" w:color="auto" w:fill="auto"/>
            <w:vAlign w:val="center"/>
          </w:tcPr>
          <w:p>
            <w:pPr>
              <w:widowControl/>
              <w:rPr>
                <w:rFonts w:ascii="Times New Roman" w:hAnsi="Times New Roman" w:eastAsia="方正小标宋简体" w:cs="Times New Roman"/>
                <w:color w:val="000000"/>
                <w:kern w:val="0"/>
                <w:sz w:val="36"/>
                <w:szCs w:val="36"/>
              </w:rPr>
            </w:pPr>
          </w:p>
          <w:p>
            <w:pPr>
              <w:widowControl/>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36"/>
                <w:szCs w:val="36"/>
              </w:rPr>
              <w:t>支出决算表</w:t>
            </w:r>
          </w:p>
        </w:tc>
      </w:tr>
      <w:tr>
        <w:tblPrEx>
          <w:tblCellMar>
            <w:top w:w="0" w:type="dxa"/>
            <w:left w:w="108" w:type="dxa"/>
            <w:bottom w:w="0" w:type="dxa"/>
            <w:right w:w="108" w:type="dxa"/>
          </w:tblCellMar>
        </w:tblPrEx>
        <w:trPr>
          <w:trHeight w:val="285" w:hRule="atLeast"/>
          <w:jc w:val="center"/>
        </w:trPr>
        <w:tc>
          <w:tcPr>
            <w:tcW w:w="1161"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8"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50"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1"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7"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7"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7"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5" w:type="dxa"/>
            <w:gridSpan w:val="3"/>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公开03表</w:t>
            </w:r>
          </w:p>
        </w:tc>
      </w:tr>
      <w:tr>
        <w:tblPrEx>
          <w:tblCellMar>
            <w:top w:w="0" w:type="dxa"/>
            <w:left w:w="108" w:type="dxa"/>
            <w:bottom w:w="0" w:type="dxa"/>
            <w:right w:w="108" w:type="dxa"/>
          </w:tblCellMar>
        </w:tblPrEx>
        <w:trPr>
          <w:trHeight w:val="285" w:hRule="atLeast"/>
          <w:jc w:val="center"/>
        </w:trPr>
        <w:tc>
          <w:tcPr>
            <w:tcW w:w="13302" w:type="dxa"/>
            <w:gridSpan w:val="16"/>
            <w:tcBorders>
              <w:top w:val="nil"/>
              <w:left w:val="nil"/>
              <w:bottom w:val="nil"/>
              <w:right w:val="nil"/>
            </w:tcBorders>
            <w:shd w:val="clear" w:color="000000" w:fill="FFFFFF"/>
            <w:vAlign w:val="center"/>
          </w:tcPr>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部门：常德市教育科学研究院　　　　　　　　　　　　　　　　　　　　　　　　　　　　　　　　　　　　　　　　　　　　单位：万元</w:t>
            </w:r>
          </w:p>
        </w:tc>
      </w:tr>
      <w:tr>
        <w:tblPrEx>
          <w:tblCellMar>
            <w:top w:w="0" w:type="dxa"/>
            <w:left w:w="108" w:type="dxa"/>
            <w:bottom w:w="0" w:type="dxa"/>
            <w:right w:w="108" w:type="dxa"/>
          </w:tblCellMar>
        </w:tblPrEx>
        <w:trPr>
          <w:gridAfter w:val="1"/>
          <w:wAfter w:w="119" w:type="dxa"/>
          <w:trHeight w:val="450" w:hRule="atLeast"/>
          <w:jc w:val="center"/>
        </w:trPr>
        <w:tc>
          <w:tcPr>
            <w:tcW w:w="348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56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16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CellMar>
            <w:top w:w="0" w:type="dxa"/>
            <w:left w:w="108" w:type="dxa"/>
            <w:bottom w:w="0" w:type="dxa"/>
            <w:right w:w="108" w:type="dxa"/>
          </w:tblCellMar>
        </w:tblPrEx>
        <w:trPr>
          <w:gridAfter w:val="1"/>
          <w:wAfter w:w="119" w:type="dxa"/>
          <w:trHeight w:val="630" w:hRule="atLeast"/>
          <w:jc w:val="center"/>
        </w:trPr>
        <w:tc>
          <w:tcPr>
            <w:tcW w:w="116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327"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119" w:type="dxa"/>
          <w:trHeight w:val="630"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32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1"/>
          <w:wAfter w:w="119" w:type="dxa"/>
          <w:trHeight w:val="450" w:hRule="atLeast"/>
          <w:jc w:val="center"/>
        </w:trPr>
        <w:tc>
          <w:tcPr>
            <w:tcW w:w="348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5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41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4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1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CellMar>
            <w:top w:w="0" w:type="dxa"/>
            <w:left w:w="108" w:type="dxa"/>
            <w:bottom w:w="0" w:type="dxa"/>
            <w:right w:w="108" w:type="dxa"/>
          </w:tblCellMar>
        </w:tblPrEx>
        <w:trPr>
          <w:gridAfter w:val="1"/>
          <w:wAfter w:w="119" w:type="dxa"/>
          <w:trHeight w:val="450" w:hRule="atLeast"/>
          <w:jc w:val="center"/>
        </w:trPr>
        <w:tc>
          <w:tcPr>
            <w:tcW w:w="348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合计</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828.86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620.68　</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208.18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教育支出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731.66</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538.16</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193.50</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20501</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教育管理事务</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2050199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其他教育管理事务支出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20502</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普通教育</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2050299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其他普通教育支出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教育费附加安排的支出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w:t>
            </w: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2050999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其他教育费附加安排的支出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20599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其他教育支出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2059999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其他教育支出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206</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科学技术支出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20604</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技术研究与开发</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2060499</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其他技术研究与开发支出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208</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社会保障和就业支出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20805</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行政事业单位养老支出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2080502</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事业单位离退休</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221</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住房保障支出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22102</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住房改革支出</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450" w:hRule="atLeast"/>
          <w:jc w:val="center"/>
        </w:trPr>
        <w:tc>
          <w:tcPr>
            <w:tcW w:w="116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2210201</w:t>
            </w:r>
          </w:p>
        </w:tc>
        <w:tc>
          <w:tcPr>
            <w:tcW w:w="2327" w:type="dxa"/>
            <w:gridSpan w:val="3"/>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  住房公积金</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1417" w:type="dxa"/>
            <w:gridSpan w:val="2"/>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c>
          <w:tcPr>
            <w:tcW w:w="161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0"/>
                <w:szCs w:val="20"/>
              </w:rPr>
            </w:pPr>
          </w:p>
        </w:tc>
      </w:tr>
      <w:tr>
        <w:tblPrEx>
          <w:tblCellMar>
            <w:top w:w="0" w:type="dxa"/>
            <w:left w:w="108" w:type="dxa"/>
            <w:bottom w:w="0" w:type="dxa"/>
            <w:right w:w="108" w:type="dxa"/>
          </w:tblCellMar>
        </w:tblPrEx>
        <w:trPr>
          <w:gridAfter w:val="1"/>
          <w:wAfter w:w="119" w:type="dxa"/>
          <w:trHeight w:val="630" w:hRule="atLeast"/>
          <w:jc w:val="center"/>
        </w:trPr>
        <w:tc>
          <w:tcPr>
            <w:tcW w:w="13183" w:type="dxa"/>
            <w:gridSpan w:val="1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注：1.本表反映部门本年度各项支出情况，</w:t>
            </w:r>
            <w:r>
              <w:rPr>
                <w:rFonts w:ascii="Times New Roman" w:hAnsi="Times New Roman" w:eastAsia="仿宋_GB2312" w:cs="Times New Roman"/>
                <w:sz w:val="20"/>
                <w:szCs w:val="20"/>
              </w:rPr>
              <w:t>细化公开到功能分类项级科目</w:t>
            </w:r>
            <w:r>
              <w:rPr>
                <w:rFonts w:ascii="Times New Roman" w:hAnsi="Times New Roman" w:eastAsia="仿宋_GB2312" w:cs="Times New Roman"/>
                <w:kern w:val="0"/>
                <w:sz w:val="20"/>
                <w:szCs w:val="20"/>
              </w:rPr>
              <w:t>。</w:t>
            </w:r>
          </w:p>
          <w:p>
            <w:pPr>
              <w:widowControl/>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xml:space="preserve">    2.本表数据来源于部门决算报表Z04支出决算表。</w:t>
            </w:r>
          </w:p>
        </w:tc>
      </w:tr>
    </w:tbl>
    <w:p>
      <w:pPr>
        <w:widowControl/>
        <w:ind w:left="93"/>
        <w:jc w:val="center"/>
        <w:rPr>
          <w:rFonts w:ascii="Times New Roman" w:hAnsi="Times New Roman" w:eastAsia="仿宋_GB2312" w:cs="Times New Roman"/>
          <w:color w:val="000000"/>
          <w:kern w:val="0"/>
          <w:sz w:val="20"/>
          <w:szCs w:val="20"/>
        </w:rPr>
      </w:pPr>
    </w:p>
    <w:p>
      <w:pPr>
        <w:widowControl/>
        <w:ind w:left="93"/>
        <w:jc w:val="center"/>
        <w:rPr>
          <w:rFonts w:ascii="Times New Roman" w:hAnsi="Times New Roman" w:eastAsia="仿宋_GB2312" w:cs="Times New Roman"/>
          <w:color w:val="000000"/>
          <w:kern w:val="0"/>
          <w:sz w:val="20"/>
          <w:szCs w:val="20"/>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vAlign w:val="center"/>
          </w:tcPr>
          <w:p>
            <w:pPr>
              <w:widowControl/>
              <w:jc w:val="center"/>
              <w:rPr>
                <w:rFonts w:ascii="Times New Roman" w:hAnsi="Times New Roman" w:eastAsia="方正小标宋简体" w:cs="Times New Roman"/>
                <w:color w:val="000000"/>
                <w:kern w:val="0"/>
                <w:sz w:val="36"/>
                <w:szCs w:val="36"/>
              </w:rPr>
            </w:pPr>
            <w:bookmarkStart w:id="0" w:name="RANGE!A1:F16"/>
          </w:p>
          <w:p>
            <w:pPr>
              <w:widowControl/>
              <w:jc w:val="center"/>
              <w:rPr>
                <w:rFonts w:ascii="Times New Roman" w:hAnsi="Times New Roman" w:eastAsia="方正小标宋简体" w:cs="Times New Roman"/>
                <w:color w:val="000000"/>
                <w:kern w:val="0"/>
                <w:sz w:val="36"/>
                <w:szCs w:val="36"/>
              </w:rPr>
            </w:pPr>
          </w:p>
          <w:p>
            <w:pPr>
              <w:widowControl/>
              <w:jc w:val="center"/>
              <w:rPr>
                <w:rFonts w:ascii="Times New Roman" w:hAnsi="Times New Roman" w:eastAsia="方正小标宋简体" w:cs="Times New Roman"/>
                <w:color w:val="000000"/>
                <w:kern w:val="0"/>
                <w:sz w:val="36"/>
                <w:szCs w:val="36"/>
              </w:rPr>
            </w:pPr>
          </w:p>
          <w:p>
            <w:pPr>
              <w:widowControl/>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36"/>
                <w:szCs w:val="36"/>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078"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043"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5"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nil"/>
              <w:right w:val="nil"/>
            </w:tcBorders>
            <w:shd w:val="clear" w:color="000000" w:fill="FFFFFF"/>
            <w:vAlign w:val="center"/>
          </w:tcPr>
          <w:p>
            <w:pPr>
              <w:widowControl/>
              <w:ind w:right="220"/>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vAlign w:val="center"/>
          </w:tcPr>
          <w:p>
            <w:pPr>
              <w:widowControl/>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部门：常德市教育科学研究院</w:t>
            </w:r>
          </w:p>
        </w:tc>
        <w:tc>
          <w:tcPr>
            <w:tcW w:w="436"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078"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043"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5"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收入</w:t>
            </w:r>
          </w:p>
        </w:tc>
        <w:tc>
          <w:tcPr>
            <w:tcW w:w="10412"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行次</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金额</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栏    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808.18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731.66</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731.66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14.68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14.68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53.01</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53.01</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 w:val="22"/>
              </w:rPr>
            </w:pPr>
            <w:r>
              <w:rPr>
                <w:rFonts w:ascii="Times New Roman" w:hAnsi="Times New Roman" w:eastAsia="仿宋_GB2312" w:cs="Times New Roman"/>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29.51</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29.51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本年收入合计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808.18　</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828.86</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828.86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62.77　</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42.09</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42.09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62.77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 w:val="22"/>
              </w:rPr>
            </w:pPr>
            <w:r>
              <w:rPr>
                <w:rFonts w:ascii="Times New Roman" w:hAnsi="Times New Roman" w:eastAsia="仿宋_GB2312" w:cs="Times New Roman"/>
                <w:kern w:val="0"/>
                <w:sz w:val="22"/>
              </w:rPr>
              <w:t>870.95　</w:t>
            </w:r>
          </w:p>
        </w:tc>
        <w:tc>
          <w:tcPr>
            <w:tcW w:w="341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w:t>
            </w:r>
          </w:p>
        </w:tc>
        <w:tc>
          <w:tcPr>
            <w:tcW w:w="157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870.95</w:t>
            </w:r>
          </w:p>
        </w:tc>
        <w:tc>
          <w:tcPr>
            <w:tcW w:w="139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870.95　</w:t>
            </w:r>
          </w:p>
        </w:tc>
        <w:tc>
          <w:tcPr>
            <w:tcW w:w="139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注：1.本表反映部门本年度一般公共预算财政拨款、政府性基金预算财政拨款和国有资本经营预算财政拨款的总收支和年末结转结余情况。</w:t>
            </w:r>
          </w:p>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2.本表数据来源于部门决算报表Z01_1财政拨款收入支出决算总表。</w:t>
            </w:r>
          </w:p>
        </w:tc>
      </w:tr>
    </w:tbl>
    <w:p>
      <w:pPr>
        <w:widowControl/>
        <w:jc w:val="left"/>
        <w:rPr>
          <w:rFonts w:ascii="Times New Roman" w:hAnsi="Times New Roman" w:eastAsia="宋体" w:cs="Times New Roman"/>
          <w:kern w:val="0"/>
          <w:sz w:val="24"/>
          <w:szCs w:val="24"/>
        </w:rPr>
        <w:sectPr>
          <w:pgSz w:w="16838" w:h="11906" w:orient="landscape"/>
          <w:pgMar w:top="1134" w:right="720" w:bottom="720" w:left="720" w:header="851" w:footer="567" w:gutter="0"/>
          <w:cols w:space="0" w:num="1"/>
          <w:docGrid w:type="lines" w:linePitch="315" w:charSpace="0"/>
        </w:sectPr>
      </w:pPr>
    </w:p>
    <w:tbl>
      <w:tblPr>
        <w:tblStyle w:val="5"/>
        <w:tblW w:w="15521" w:type="dxa"/>
        <w:tblInd w:w="93" w:type="dxa"/>
        <w:tblLayout w:type="fixed"/>
        <w:tblCellMar>
          <w:top w:w="0" w:type="dxa"/>
          <w:left w:w="108" w:type="dxa"/>
          <w:bottom w:w="0" w:type="dxa"/>
          <w:right w:w="108" w:type="dxa"/>
        </w:tblCellMar>
      </w:tblPr>
      <w:tblGrid>
        <w:gridCol w:w="15521"/>
      </w:tblGrid>
      <w:tr>
        <w:tblPrEx>
          <w:tblCellMar>
            <w:top w:w="0" w:type="dxa"/>
            <w:left w:w="108" w:type="dxa"/>
            <w:bottom w:w="0" w:type="dxa"/>
            <w:right w:w="108" w:type="dxa"/>
          </w:tblCellMar>
        </w:tblPrEx>
        <w:trPr>
          <w:trHeight w:val="585" w:hRule="atLeast"/>
        </w:trPr>
        <w:tc>
          <w:tcPr>
            <w:tcW w:w="15521"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bl>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sz w:val="22"/>
        </w:rPr>
      </w:pPr>
      <w:r>
        <w:rPr>
          <w:rFonts w:ascii="Times New Roman" w:hAnsi="Times New Roman" w:cs="Times New Roman"/>
          <w:color w:val="000000"/>
          <w:kern w:val="0"/>
          <w:sz w:val="22"/>
        </w:rPr>
        <w:t xml:space="preserve">     </w:t>
      </w:r>
      <w:r>
        <w:rPr>
          <w:rFonts w:ascii="Times New Roman" w:hAnsi="Times New Roman" w:eastAsia="仿宋_GB2312" w:cs="Times New Roman"/>
          <w:color w:val="000000"/>
          <w:kern w:val="0"/>
          <w:sz w:val="22"/>
        </w:rPr>
        <w:t>部门：常德市教育科学研究院                                                                  　                                公开05表</w:t>
      </w:r>
    </w:p>
    <w:p>
      <w:pPr>
        <w:widowControl/>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单位：万元</w:t>
      </w:r>
    </w:p>
    <w:tbl>
      <w:tblPr>
        <w:tblStyle w:val="5"/>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 xml:space="preserve">项 </w:t>
            </w:r>
            <w:r>
              <w:rPr>
                <w:rFonts w:ascii="Times New Roman" w:hAnsi="Times New Roman" w:eastAsia="仿宋_GB2312" w:cs="Times New Roman"/>
                <w:b/>
                <w:color w:val="000000"/>
                <w:kern w:val="0"/>
                <w:sz w:val="22"/>
              </w:rPr>
              <w:t xml:space="preserve">   </w:t>
            </w:r>
            <w:r>
              <w:rPr>
                <w:rFonts w:ascii="Times New Roman" w:hAnsi="Times New Roman" w:eastAsia="仿宋_GB2312" w:cs="Times New Roman"/>
                <w:b/>
                <w:kern w:val="0"/>
                <w:sz w:val="22"/>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本年支出</w:t>
            </w:r>
          </w:p>
        </w:tc>
      </w:tr>
      <w:tr>
        <w:tblPrEx>
          <w:tblCellMar>
            <w:top w:w="0" w:type="dxa"/>
            <w:left w:w="108" w:type="dxa"/>
            <w:bottom w:w="0" w:type="dxa"/>
            <w:right w:w="108" w:type="dxa"/>
          </w:tblCellMar>
        </w:tblPrEx>
        <w:trPr>
          <w:trHeight w:val="648"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 w:val="22"/>
              </w:rPr>
            </w:pPr>
            <w:r>
              <w:rPr>
                <w:rFonts w:ascii="Times New Roman" w:hAnsi="Times New Roman" w:eastAsia="仿宋_GB2312" w:cs="Times New Roman"/>
                <w:b/>
                <w:kern w:val="0"/>
                <w:sz w:val="22"/>
              </w:rPr>
              <w:t>项目支出</w:t>
            </w:r>
          </w:p>
        </w:tc>
      </w:tr>
      <w:tr>
        <w:tblPrEx>
          <w:tblCellMar>
            <w:top w:w="0" w:type="dxa"/>
            <w:left w:w="108" w:type="dxa"/>
            <w:bottom w:w="0" w:type="dxa"/>
            <w:right w:w="108" w:type="dxa"/>
          </w:tblCellMar>
        </w:tblPrEx>
        <w:trPr>
          <w:trHeight w:val="648"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648"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合计</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Cs/>
                <w:color w:val="000000"/>
                <w:sz w:val="22"/>
              </w:rPr>
            </w:pPr>
            <w:r>
              <w:rPr>
                <w:rFonts w:ascii="Times New Roman" w:hAnsi="Times New Roman" w:cs="Times New Roman"/>
                <w:bCs/>
                <w:color w:val="000000"/>
                <w:sz w:val="22"/>
              </w:rPr>
              <w:t>828.86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Cs/>
                <w:color w:val="000000"/>
                <w:sz w:val="22"/>
              </w:rPr>
            </w:pPr>
            <w:r>
              <w:rPr>
                <w:rFonts w:ascii="Times New Roman" w:hAnsi="Times New Roman" w:cs="Times New Roman"/>
                <w:bCs/>
                <w:color w:val="000000"/>
                <w:sz w:val="22"/>
              </w:rPr>
              <w:t>620.68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bCs/>
                <w:color w:val="000000"/>
                <w:sz w:val="22"/>
              </w:rPr>
            </w:pPr>
            <w:r>
              <w:rPr>
                <w:rFonts w:ascii="Times New Roman" w:hAnsi="Times New Roman" w:cs="Times New Roman"/>
                <w:bCs/>
                <w:color w:val="000000"/>
                <w:sz w:val="22"/>
              </w:rPr>
              <w:t>208.18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教育支出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731.66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538.16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193.50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20501</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教育管理事务</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2050199</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其他教育管理事务支出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489.33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20502</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普通教育</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2050299</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其他普通教育支出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0.67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20509</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教育费附加安排的支出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2050999</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其他教育费附加安排的支出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192.83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20599</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其他教育支出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2059999</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其他教育支出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48.83</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206</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科学技术支出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20604</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技术研究与开发</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2060499</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其他技术研究与开发支出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14.68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208</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20805</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行政事业单位养老支出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2080502</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事业单位离退休</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53.01</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221</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住房保障支出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22102</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住房改革支出</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2210201</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color w:val="000000"/>
                <w:sz w:val="22"/>
              </w:rPr>
            </w:pPr>
            <w:r>
              <w:rPr>
                <w:rFonts w:ascii="Times New Roman" w:hAnsi="Times New Roman" w:cs="Times New Roman"/>
                <w:color w:val="000000"/>
                <w:sz w:val="22"/>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29.51</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宋体" w:cs="Times New Roman"/>
                <w:color w:val="000000"/>
                <w:sz w:val="22"/>
              </w:rPr>
            </w:pPr>
            <w:r>
              <w:rPr>
                <w:rFonts w:ascii="Times New Roman" w:hAnsi="Times New Roman" w:cs="Times New Roman"/>
                <w:color w:val="000000"/>
                <w:sz w:val="22"/>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注：1.本表反映部门本年度一般公共预算财政拨款支出情况，细化公开到功能分类项级科目。</w:t>
            </w:r>
          </w:p>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2.本表数据来源于部门决算报表Z07一般公共预算财政拨款收入支出决算表。</w:t>
            </w:r>
          </w:p>
        </w:tc>
      </w:tr>
    </w:tbl>
    <w:p>
      <w:pPr>
        <w:widowControl/>
        <w:jc w:val="left"/>
        <w:rPr>
          <w:rFonts w:ascii="Times New Roman" w:hAnsi="Times New Roman" w:eastAsia="仿宋_GB2312" w:cs="Times New Roman"/>
          <w:bCs/>
          <w:kern w:val="0"/>
          <w:sz w:val="22"/>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14" w:type="dxa"/>
        <w:tblInd w:w="0" w:type="dxa"/>
        <w:tblLayout w:type="fixed"/>
        <w:tblCellMar>
          <w:top w:w="0" w:type="dxa"/>
          <w:left w:w="108" w:type="dxa"/>
          <w:bottom w:w="0" w:type="dxa"/>
          <w:right w:w="108" w:type="dxa"/>
        </w:tblCellMar>
      </w:tblPr>
      <w:tblGrid>
        <w:gridCol w:w="1338"/>
        <w:gridCol w:w="3165"/>
        <w:gridCol w:w="935"/>
        <w:gridCol w:w="1135"/>
        <w:gridCol w:w="2182"/>
        <w:gridCol w:w="992"/>
        <w:gridCol w:w="1134"/>
        <w:gridCol w:w="3828"/>
        <w:gridCol w:w="905"/>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vAlign w:val="center"/>
          </w:tcPr>
          <w:p>
            <w:pPr>
              <w:widowControl/>
              <w:spacing w:line="400" w:lineRule="exact"/>
              <w:jc w:val="center"/>
              <w:rPr>
                <w:rFonts w:ascii="Times New Roman" w:hAnsi="Times New Roman" w:eastAsia="方正小标宋简体" w:cs="Times New Roman"/>
                <w:kern w:val="0"/>
                <w:sz w:val="36"/>
                <w:szCs w:val="36"/>
              </w:rPr>
            </w:pPr>
            <w:bookmarkStart w:id="1" w:name="RANGE!A1:I34"/>
            <w:r>
              <w:rPr>
                <w:rFonts w:ascii="Times New Roman" w:hAnsi="Times New Roman" w:eastAsia="方正小标宋简体" w:cs="Times New Roman"/>
                <w:kern w:val="0"/>
                <w:sz w:val="36"/>
                <w:szCs w:val="36"/>
              </w:rPr>
              <w:t>一般公共预算财政拨款基本支出决算明细表</w:t>
            </w:r>
            <w:bookmarkEnd w:id="1"/>
          </w:p>
          <w:p>
            <w:pPr>
              <w:widowControl/>
              <w:spacing w:line="240" w:lineRule="exact"/>
              <w:jc w:val="righ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部门：常德市教育科学研究院                                                                                            　     　　公开06表</w:t>
            </w:r>
          </w:p>
          <w:p>
            <w:pPr>
              <w:widowControl/>
              <w:spacing w:line="240" w:lineRule="exact"/>
              <w:jc w:val="right"/>
              <w:rPr>
                <w:rFonts w:ascii="Times New Roman" w:hAnsi="Times New Roman" w:cs="Times New Roman"/>
                <w:color w:val="000000"/>
                <w:kern w:val="0"/>
                <w:sz w:val="22"/>
              </w:rPr>
            </w:pPr>
            <w:r>
              <w:rPr>
                <w:rFonts w:ascii="Times New Roman" w:hAnsi="Times New Roman" w:eastAsia="仿宋_GB2312" w:cs="Times New Roman"/>
                <w:color w:val="000000"/>
                <w:kern w:val="0"/>
                <w:sz w:val="22"/>
              </w:rPr>
              <w:t>单位：万元</w:t>
            </w:r>
          </w:p>
        </w:tc>
      </w:tr>
      <w:tr>
        <w:tblPrEx>
          <w:tblCellMar>
            <w:top w:w="0" w:type="dxa"/>
            <w:left w:w="108" w:type="dxa"/>
            <w:bottom w:w="0" w:type="dxa"/>
            <w:right w:w="108" w:type="dxa"/>
          </w:tblCellMar>
        </w:tblPrEx>
        <w:trPr>
          <w:trHeight w:val="698"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经济分类科目编码</w:t>
            </w:r>
          </w:p>
        </w:tc>
        <w:tc>
          <w:tcPr>
            <w:tcW w:w="31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科目名称</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决算数</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经济分类科目编码</w:t>
            </w:r>
          </w:p>
        </w:tc>
        <w:tc>
          <w:tcPr>
            <w:tcW w:w="21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科目名称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决算数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经济分类科目编码</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科目名称</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工资福利支出</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507.52</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商品和服务支出</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59.32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307</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债务利息及费用支出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30101</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基本工资</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171.88</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30201</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办公费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8.57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30701</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国内债务付息</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30102</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津贴补贴</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1.94</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30202</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印刷费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30702</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国外债务付息</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30103</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奖金</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142.60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30203</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咨询费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资本性支出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30106</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伙食补助费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30204</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手续费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31001</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房屋建筑物购建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30107</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绩效工资</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78.78</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30205</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水费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31002</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办公设备购置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30108</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机关事业单位基本养老保险缴费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39.52</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30206</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电费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31003</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专用设备购置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30109</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职业年金缴费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30207</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邮电费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0.06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31005</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基础设施建设</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30110</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职工基本医疗保险缴费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18.52</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30208</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取暖费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31006</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大型修缮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30111</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公务员医疗补助缴费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30209</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物业管理费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8.68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31007</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信息网络及软件购置更新</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30112</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其他社会保障缴费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2.25</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30211</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差旅费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0.42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31008</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物资储备</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30113</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住房公积金</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45.90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30212</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因公出国（境）费用</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31009</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土地补偿</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30114</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医疗费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30213</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维修（护）费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0.09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31010</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安置补助</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30199</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其他工资福利支出</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6.11</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30214</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租赁费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31011</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地上附着物和青苗补偿</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对个人和家庭的补助</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53.84</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30215</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会议费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31012</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拆迁补偿</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30301</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离休费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30216</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培训费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31013</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公务用车购置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30302</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退休费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38.01</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30217</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公务接待费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3.67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31019</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其他交通工具购置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30303</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退职（役）费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30218</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专用材料费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0.76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31021</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文物和陈列品购置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30304</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抚恤金</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30224</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被装购置费</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31022</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无形资产购置</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30305</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生活补助</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15.00</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30225</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专用燃料费</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31099</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其他资本性支出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30306</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救济费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30226</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劳务费</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399</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其他支出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30307</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医疗费补助</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30227</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委托业务费</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39906</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赠与</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30308</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助学金</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30228</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工会经费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15.14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39907</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国家赔偿费用支出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30309</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奖励金</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30229</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福利费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9.68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39908</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对民间非营利组织和群众性自治组织补贴</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30310</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个人农业生产补贴</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30231</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公务用车运行维护费</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39999</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其他支出</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59.32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30311</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代缴社会保险费</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30239</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其他交通费用</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3.75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59.32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30399</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其他对个人和家庭的补助</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0.83</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30240</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税金及附加费用</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3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　</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30299</w:t>
            </w:r>
          </w:p>
        </w:tc>
        <w:tc>
          <w:tcPr>
            <w:tcW w:w="218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22"/>
              </w:rPr>
              <w:t xml:space="preserve">  </w:t>
            </w:r>
            <w:r>
              <w:rPr>
                <w:rFonts w:ascii="Times New Roman" w:hAnsi="Times New Roman" w:eastAsia="仿宋_GB2312" w:cs="Times New Roman"/>
                <w:color w:val="000000"/>
                <w:kern w:val="0"/>
                <w:sz w:val="18"/>
                <w:szCs w:val="18"/>
              </w:rPr>
              <w:t>其他商品和服务支出</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right"/>
              <w:rPr>
                <w:rFonts w:ascii="Times New Roman" w:hAnsi="Times New Roman" w:eastAsia="宋体" w:cs="Times New Roman"/>
                <w:color w:val="000000"/>
                <w:sz w:val="22"/>
              </w:rPr>
            </w:pPr>
            <w:r>
              <w:rPr>
                <w:rFonts w:ascii="Times New Roman" w:hAnsi="Times New Roman" w:cs="Times New Roman"/>
                <w:color w:val="000000"/>
                <w:sz w:val="22"/>
              </w:rPr>
              <w:t>8.51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59.3259.32</w:t>
            </w:r>
          </w:p>
        </w:tc>
      </w:tr>
      <w:tr>
        <w:tblPrEx>
          <w:tblCellMar>
            <w:top w:w="0" w:type="dxa"/>
            <w:left w:w="108" w:type="dxa"/>
            <w:bottom w:w="0" w:type="dxa"/>
            <w:right w:w="108" w:type="dxa"/>
          </w:tblCellMar>
        </w:tblPrEx>
        <w:trPr>
          <w:trHeight w:val="284" w:hRule="exact"/>
        </w:trPr>
        <w:tc>
          <w:tcPr>
            <w:tcW w:w="4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人员经费合计</w:t>
            </w:r>
          </w:p>
        </w:tc>
        <w:tc>
          <w:tcPr>
            <w:tcW w:w="935"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宋体" w:cs="Times New Roman"/>
                <w:color w:val="000000"/>
                <w:sz w:val="22"/>
              </w:rPr>
            </w:pPr>
            <w:r>
              <w:rPr>
                <w:rFonts w:ascii="Times New Roman" w:hAnsi="Times New Roman" w:cs="Times New Roman"/>
                <w:color w:val="000000"/>
                <w:sz w:val="22"/>
              </w:rPr>
              <w:t>561.36</w:t>
            </w:r>
          </w:p>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w:t>
            </w:r>
          </w:p>
        </w:tc>
        <w:tc>
          <w:tcPr>
            <w:tcW w:w="9271" w:type="dxa"/>
            <w:gridSpan w:val="5"/>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宋体" w:cs="Times New Roman"/>
                <w:color w:val="000000"/>
                <w:sz w:val="22"/>
              </w:rPr>
            </w:pPr>
            <w:r>
              <w:rPr>
                <w:rFonts w:ascii="Times New Roman" w:hAnsi="Times New Roman" w:eastAsia="宋体" w:cs="Times New Roman"/>
                <w:color w:val="000000"/>
                <w:sz w:val="22"/>
              </w:rPr>
              <w:t>公用经费合计</w:t>
            </w:r>
          </w:p>
        </w:tc>
        <w:tc>
          <w:tcPr>
            <w:tcW w:w="9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59.32</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spacing w:line="240" w:lineRule="exact"/>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注：1</w:t>
            </w:r>
            <w:r>
              <w:rPr>
                <w:rFonts w:ascii="Times New Roman" w:hAnsi="Times New Roman" w:eastAsia="仿宋_GB2312" w:cs="Times New Roman"/>
                <w:kern w:val="0"/>
                <w:sz w:val="22"/>
              </w:rPr>
              <w:t>.</w:t>
            </w:r>
            <w:r>
              <w:rPr>
                <w:rFonts w:ascii="Times New Roman" w:hAnsi="Times New Roman" w:eastAsia="仿宋_GB2312" w:cs="Times New Roman"/>
                <w:color w:val="000000"/>
                <w:kern w:val="0"/>
                <w:sz w:val="22"/>
              </w:rPr>
              <w:t>本表反映部门本年度一般公共预算财政拨款基本支出明细情况。2</w:t>
            </w:r>
            <w:r>
              <w:rPr>
                <w:rFonts w:ascii="Times New Roman" w:hAnsi="Times New Roman" w:eastAsia="仿宋_GB2312" w:cs="Times New Roman"/>
                <w:kern w:val="0"/>
                <w:sz w:val="22"/>
              </w:rPr>
              <w:t>.</w:t>
            </w:r>
            <w:r>
              <w:rPr>
                <w:rFonts w:ascii="Times New Roman" w:hAnsi="Times New Roman" w:eastAsia="仿宋_GB2312" w:cs="Times New Roman"/>
                <w:color w:val="000000"/>
                <w:kern w:val="0"/>
                <w:sz w:val="22"/>
              </w:rPr>
              <w:t>本表数据来源于部门决算报表Z08_1一般公共预算财政拨款基本支出决算表</w:t>
            </w:r>
          </w:p>
          <w:p>
            <w:pPr>
              <w:widowControl/>
              <w:spacing w:line="240" w:lineRule="exact"/>
              <w:jc w:val="left"/>
              <w:rPr>
                <w:rFonts w:ascii="Times New Roman" w:hAnsi="Times New Roman" w:eastAsia="仿宋_GB2312" w:cs="Times New Roman"/>
                <w:color w:val="000000"/>
                <w:kern w:val="0"/>
                <w:sz w:val="22"/>
              </w:rPr>
            </w:pPr>
          </w:p>
          <w:p>
            <w:pPr>
              <w:widowControl/>
              <w:spacing w:line="240" w:lineRule="exact"/>
              <w:jc w:val="left"/>
              <w:rPr>
                <w:rFonts w:ascii="Times New Roman" w:hAnsi="Times New Roman" w:eastAsia="仿宋_GB2312" w:cs="Times New Roman"/>
                <w:color w:val="000000"/>
                <w:kern w:val="0"/>
                <w:sz w:val="22"/>
              </w:rPr>
            </w:pPr>
          </w:p>
        </w:tc>
      </w:tr>
    </w:tbl>
    <w:p>
      <w:pPr>
        <w:widowControl/>
        <w:spacing w:line="240" w:lineRule="exact"/>
        <w:jc w:val="center"/>
        <w:rPr>
          <w:rFonts w:ascii="Times New Roman" w:hAnsi="Times New Roman" w:eastAsia="仿宋_GB2312" w:cs="Times New Roman"/>
          <w:color w:val="000000"/>
          <w:kern w:val="0"/>
          <w:sz w:val="36"/>
          <w:szCs w:val="36"/>
        </w:rPr>
      </w:pPr>
      <w:r>
        <w:rPr>
          <w:rFonts w:ascii="Times New Roman" w:hAnsi="Times New Roman" w:eastAsia="仿宋_GB2312" w:cs="Times New Roman"/>
          <w:color w:val="000000"/>
          <w:kern w:val="0"/>
          <w:sz w:val="36"/>
          <w:szCs w:val="36"/>
        </w:rPr>
        <w:br w:type="page"/>
      </w: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部门： 常德市教育科学研究院                                                                                                      公开07表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3.67</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3.67</w:t>
            </w:r>
          </w:p>
        </w:tc>
      </w:tr>
    </w:tbl>
    <w:p>
      <w:pPr>
        <w:widowControl/>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注：1.本表反映部门本年度“三公”经费支出预决算情况。其中，预算数为“三公”经费全年预算数，反映按规定程序调整后的预算数；</w:t>
      </w:r>
    </w:p>
    <w:p>
      <w:pPr>
        <w:widowControl/>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决算数是包括当年一般公共预算财政拨款和以前年度结转资金安排的实际支出。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2.本表数据来源于部门决算报表F03机构运行信息表。</w:t>
      </w:r>
    </w:p>
    <w:p>
      <w:pPr>
        <w:autoSpaceDE w:val="0"/>
        <w:autoSpaceDN w:val="0"/>
        <w:adjustRightInd w:val="0"/>
        <w:ind w:left="315" w:leftChars="150"/>
        <w:jc w:val="left"/>
        <w:rPr>
          <w:rFonts w:ascii="Times New Roman" w:hAnsi="Times New Roman" w:cs="Times New Roman"/>
          <w:kern w:val="0"/>
          <w:sz w:val="24"/>
          <w:szCs w:val="24"/>
        </w:rPr>
      </w:pPr>
    </w:p>
    <w:p>
      <w:pPr>
        <w:widowControl/>
        <w:rPr>
          <w:rFonts w:ascii="Times New Roman" w:hAnsi="Times New Roman" w:cs="Times New Roman"/>
          <w:kern w:val="0"/>
          <w:sz w:val="36"/>
          <w:szCs w:val="36"/>
        </w:rPr>
      </w:pPr>
    </w:p>
    <w:p>
      <w:pPr>
        <w:widowControl/>
        <w:jc w:val="center"/>
        <w:rPr>
          <w:rFonts w:ascii="Times New Roman" w:hAnsi="Times New Roman" w:cs="Times New Roman"/>
          <w:kern w:val="0"/>
          <w:sz w:val="36"/>
          <w:szCs w:val="36"/>
        </w:rPr>
      </w:pPr>
    </w:p>
    <w:p>
      <w:pPr>
        <w:widowControl/>
        <w:jc w:val="center"/>
        <w:rPr>
          <w:rFonts w:ascii="Times New Roman" w:hAnsi="Times New Roman" w:eastAsia="方正小标宋简体" w:cs="Times New Roman"/>
          <w:kern w:val="0"/>
          <w:sz w:val="36"/>
          <w:szCs w:val="36"/>
        </w:rPr>
      </w:pPr>
    </w:p>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部门：常德市教育科学研究院                                                                                                    公开08表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单位：万元      </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spacing w:line="24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本单位无政府性基金收入，也没有使用政府性基金收入安排的支出，故本表无数据。</w:t>
            </w:r>
          </w:p>
        </w:tc>
        <w:tc>
          <w:tcPr>
            <w:tcW w:w="2000" w:type="dxa"/>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Cs w:val="21"/>
        </w:rPr>
        <w:t xml:space="preserve">     </w:t>
      </w:r>
      <w:r>
        <w:rPr>
          <w:rFonts w:ascii="Times New Roman" w:hAnsi="Times New Roman" w:eastAsia="仿宋_GB2312" w:cs="Times New Roman"/>
          <w:kern w:val="0"/>
          <w:sz w:val="24"/>
          <w:szCs w:val="24"/>
        </w:rPr>
        <w:t>注：1.本表反映部门本年度政府性基金预算财政拨款收入、支出及结转和结余情况，细化公开到功能分类项级科目。</w:t>
      </w:r>
    </w:p>
    <w:p>
      <w:pPr>
        <w:widowControl/>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2.本表数据来源于部门决算报表Z09政府性基金预算财政拨款收入支出决算表。</w:t>
      </w:r>
    </w:p>
    <w:p>
      <w:pPr>
        <w:widowControl/>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widowControl/>
        <w:ind w:firstLine="480"/>
        <w:jc w:val="left"/>
        <w:rPr>
          <w:rFonts w:ascii="Times New Roman" w:hAnsi="Times New Roman" w:eastAsia="仿宋_GB2312" w:cs="Times New Roman"/>
          <w:szCs w:val="21"/>
        </w:rPr>
      </w:pPr>
      <w:r>
        <w:rPr>
          <w:rFonts w:ascii="Times New Roman" w:hAnsi="Times New Roman" w:eastAsia="仿宋_GB2312" w:cs="Times New Roman"/>
          <w:kern w:val="0"/>
          <w:sz w:val="24"/>
          <w:szCs w:val="24"/>
        </w:rPr>
        <w:t xml:space="preserve">       </w:t>
      </w:r>
    </w:p>
    <w:tbl>
      <w:tblPr>
        <w:tblStyle w:val="5"/>
        <w:tblW w:w="14190" w:type="dxa"/>
        <w:jc w:val="center"/>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jc w:val="center"/>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eastAsia="方正小标宋简体" w:cs="Times New Roman"/>
                <w:kern w:val="0"/>
                <w:sz w:val="32"/>
                <w:szCs w:val="32"/>
              </w:rPr>
            </w:pPr>
            <w:r>
              <w:rPr>
                <w:rFonts w:ascii="Times New Roman" w:hAnsi="Times New Roman" w:eastAsia="方正小标宋简体" w:cs="Times New Roman"/>
                <w:kern w:val="0"/>
                <w:sz w:val="36"/>
                <w:szCs w:val="36"/>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公开09表</w:t>
            </w:r>
          </w:p>
        </w:tc>
      </w:tr>
      <w:tr>
        <w:tblPrEx>
          <w:tblCellMar>
            <w:top w:w="0" w:type="dxa"/>
            <w:left w:w="108" w:type="dxa"/>
            <w:bottom w:w="0" w:type="dxa"/>
            <w:right w:w="108" w:type="dxa"/>
          </w:tblCellMar>
        </w:tblPrEx>
        <w:trPr>
          <w:trHeight w:val="285" w:hRule="atLeast"/>
          <w:jc w:val="center"/>
        </w:trPr>
        <w:tc>
          <w:tcPr>
            <w:tcW w:w="14190" w:type="dxa"/>
            <w:gridSpan w:val="9"/>
            <w:tcBorders>
              <w:top w:val="nil"/>
              <w:left w:val="nil"/>
              <w:bottom w:val="nil"/>
              <w:right w:val="nil"/>
            </w:tcBorders>
            <w:shd w:val="clear" w:color="000000" w:fill="FFFFFF"/>
            <w:vAlign w:val="center"/>
          </w:tcPr>
          <w:p>
            <w:pPr>
              <w:widowControl/>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部门：常德市教育科学研究院　　　　　　　　　　　　　　　　　　　　　　　　　　　　　　　　　　　　　　　　　　　　　　单位：万元</w:t>
            </w: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项 </w:t>
            </w:r>
            <w:r>
              <w:rPr>
                <w:rFonts w:ascii="Times New Roman" w:hAnsi="Times New Roman" w:eastAsia="仿宋_GB2312" w:cs="Times New Roman"/>
                <w:color w:val="000000"/>
                <w:kern w:val="0"/>
                <w:sz w:val="22"/>
              </w:rPr>
              <w:t xml:space="preserve">   </w:t>
            </w:r>
            <w:r>
              <w:rPr>
                <w:rFonts w:ascii="Times New Roman" w:hAnsi="Times New Roman" w:eastAsia="仿宋_GB2312" w:cs="Times New Roman"/>
                <w:kern w:val="0"/>
                <w:sz w:val="22"/>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本年支出</w:t>
            </w:r>
          </w:p>
        </w:tc>
      </w:tr>
      <w:tr>
        <w:tblPrEx>
          <w:tblCellMar>
            <w:top w:w="0" w:type="dxa"/>
            <w:left w:w="108" w:type="dxa"/>
            <w:bottom w:w="0" w:type="dxa"/>
            <w:right w:w="108" w:type="dxa"/>
          </w:tblCellMar>
        </w:tblPrEx>
        <w:trPr>
          <w:trHeight w:val="648" w:hRule="atLeast"/>
          <w:jc w:val="center"/>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基本支出</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项目支出</w:t>
            </w:r>
          </w:p>
        </w:tc>
      </w:tr>
      <w:tr>
        <w:tblPrEx>
          <w:tblCellMar>
            <w:top w:w="0" w:type="dxa"/>
            <w:left w:w="108" w:type="dxa"/>
            <w:bottom w:w="0" w:type="dxa"/>
            <w:right w:w="108" w:type="dxa"/>
          </w:tblCellMar>
        </w:tblPrEx>
        <w:trPr>
          <w:trHeight w:val="648"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648"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r>
      <w:tr>
        <w:tblPrEx>
          <w:tblCellMar>
            <w:top w:w="0" w:type="dxa"/>
            <w:left w:w="108" w:type="dxa"/>
            <w:bottom w:w="0" w:type="dxa"/>
            <w:right w:w="108" w:type="dxa"/>
          </w:tblCellMar>
        </w:tblPrEx>
        <w:trPr>
          <w:trHeight w:val="402" w:hRule="atLeast"/>
          <w:jc w:val="center"/>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本单位无国有资本经营预算收入，也没有使用国有资本经营预算收入安排的支出，故本表无数据。</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w:t>
            </w:r>
          </w:p>
        </w:tc>
      </w:tr>
      <w:tr>
        <w:tblPrEx>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注：1.本表反映部门本年度国有资本经营预算财政拨款支出情况，细化公开到功能分类项级科目。</w:t>
            </w:r>
          </w:p>
          <w:p>
            <w:pPr>
              <w:widowControl/>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2.本表数据来源于部门决算报表Z12国有资本经营预算财政拨款支出决算表。</w:t>
            </w:r>
          </w:p>
        </w:tc>
      </w:tr>
      <w:tr>
        <w:tblPrEx>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bl>
    <w:p>
      <w:pPr>
        <w:pStyle w:val="9"/>
        <w:rPr>
          <w:rFonts w:ascii="Times New Roman" w:hAnsi="Times New Roman" w:cs="Times New Roman"/>
          <w:sz w:val="72"/>
          <w:szCs w:val="72"/>
        </w:rPr>
        <w:sectPr>
          <w:pgSz w:w="16838" w:h="11906" w:orient="landscape"/>
          <w:pgMar w:top="680" w:right="720" w:bottom="567" w:left="720" w:header="851" w:footer="567" w:gutter="0"/>
          <w:cols w:space="0" w:num="1"/>
          <w:docGrid w:type="lines" w:linePitch="324" w:charSpace="0"/>
        </w:sect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eastAsia="方正小标宋简体" w:cs="Times New Roman"/>
          <w:sz w:val="72"/>
          <w:szCs w:val="72"/>
        </w:rPr>
      </w:pPr>
      <w:r>
        <w:rPr>
          <w:rFonts w:ascii="Times New Roman" w:hAnsi="Times New Roman" w:eastAsia="方正小标宋简体" w:cs="Times New Roman"/>
          <w:sz w:val="72"/>
          <w:szCs w:val="72"/>
        </w:rPr>
        <w:t>第三部分</w:t>
      </w:r>
    </w:p>
    <w:p>
      <w:pPr>
        <w:pStyle w:val="9"/>
        <w:jc w:val="center"/>
        <w:rPr>
          <w:rFonts w:ascii="Times New Roman" w:hAnsi="Times New Roman" w:eastAsia="方正小标宋简体" w:cs="Times New Roman"/>
          <w:sz w:val="70"/>
          <w:szCs w:val="70"/>
        </w:rPr>
      </w:pPr>
    </w:p>
    <w:p>
      <w:pPr>
        <w:pStyle w:val="9"/>
        <w:jc w:val="center"/>
        <w:rPr>
          <w:rFonts w:ascii="Times New Roman" w:hAnsi="Times New Roman" w:eastAsia="方正小标宋简体" w:cs="Times New Roman"/>
          <w:sz w:val="70"/>
          <w:szCs w:val="70"/>
        </w:rPr>
      </w:pPr>
      <w:r>
        <w:rPr>
          <w:rFonts w:ascii="Times New Roman" w:hAnsi="Times New Roman" w:eastAsia="方正小标宋简体" w:cs="Times New Roman"/>
          <w:sz w:val="70"/>
          <w:szCs w:val="70"/>
        </w:rPr>
        <w:t>2021年度部门决算情况说明</w:t>
      </w:r>
    </w:p>
    <w:p>
      <w:pPr>
        <w:widowControl/>
        <w:jc w:val="left"/>
        <w:rPr>
          <w:rFonts w:ascii="Times New Roman" w:hAnsi="Times New Roman" w:eastAsia="黑体" w:cs="Times New Roman"/>
          <w:color w:val="000000"/>
          <w:kern w:val="0"/>
          <w:sz w:val="70"/>
          <w:szCs w:val="70"/>
        </w:rPr>
      </w:pPr>
      <w:r>
        <w:rPr>
          <w:rFonts w:ascii="Times New Roman" w:hAnsi="Times New Roman" w:cs="Times New Roman"/>
          <w:sz w:val="70"/>
          <w:szCs w:val="70"/>
        </w:rPr>
        <w:br w:type="page"/>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一、收入支出决算总体情况说明</w:t>
      </w:r>
    </w:p>
    <w:p>
      <w:pPr>
        <w:pStyle w:val="9"/>
        <w:spacing w:line="600"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2021年度收入总计870.95万元。与上年相比，增加16.24万元，增长1.9%，主要是因为工资调标、职称晋档所致。支出总计828.86万元。与上年相比，增加36.92万元，增长4.66%，主要是因为工资变动、开展学科教学研究以及技术研究与开发等支出。</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二、收入决算情况说明</w:t>
      </w:r>
    </w:p>
    <w:p>
      <w:pPr>
        <w:pStyle w:val="9"/>
        <w:spacing w:line="600"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2021年度收入合计870.95万元，其中：财政拨款收入870.95万元，占100%；上级补助收入0元，占0%；事业收入0万元，占0%；经营收入0万元，占0%；附属单位上缴收入0万元，占0%；其他收入0万元，占0%。</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三、支出决算情况说明</w:t>
      </w:r>
    </w:p>
    <w:p>
      <w:pPr>
        <w:pStyle w:val="9"/>
        <w:spacing w:line="600"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2021年度支出合计828.86万元，其中：基本支出620.68万元，占74.88%；项目支出208.18万元，占25.12%；上缴上级支出0万元，占0%；经营支出0万元，占0%；对附属单位补助支出0万元，占0%。</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四、财政拨款收入支出决算总体情况说明</w:t>
      </w:r>
    </w:p>
    <w:p>
      <w:pPr>
        <w:pStyle w:val="9"/>
        <w:spacing w:line="600"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2021年度财政拨款收入总计870.95万元，与上年相比，增加16.24万元,增长1.9%，主要是因为工资调标、职称晋档所致。财政拨款支出总计828.86万元。与上年相比，增加36.92万元，增长4.66%，主要是因为工资变动、开展学科教学研究以及技术研究与开发等支出。</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五、一般公共预算财政拨款支出决算情况说明</w:t>
      </w:r>
    </w:p>
    <w:p>
      <w:pPr>
        <w:pStyle w:val="9"/>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（一）财政拨款支出决算总体情况</w:t>
      </w:r>
    </w:p>
    <w:p>
      <w:pPr>
        <w:pStyle w:val="9"/>
        <w:spacing w:line="600"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2021年度财政拨款支出828.86万元，占本年支出合计的100%，与上年相比，财政拨款支出增加36.92万元，增长4.66%，主要是因为工资变动、开展学科教学研究以及技术研究与开发等支出。</w:t>
      </w:r>
    </w:p>
    <w:p>
      <w:pPr>
        <w:pStyle w:val="9"/>
        <w:spacing w:line="600" w:lineRule="exact"/>
        <w:ind w:firstLine="800" w:firstLineChars="25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（二）财政拨款支出决算结构情况</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2021年度财政拨款支出828.86万元，主要用于以下方面：教育（类）支出731.66万元，占88.27%;科学技术支出14.68万元，占1.77%；社会保障和就业支出53.01万元，占6.40%；住房保障支出29.51万元，占3.56%。</w:t>
      </w:r>
    </w:p>
    <w:p>
      <w:pPr>
        <w:pStyle w:val="9"/>
        <w:spacing w:line="600" w:lineRule="exact"/>
        <w:ind w:firstLine="800" w:firstLineChars="250"/>
        <w:rPr>
          <w:rFonts w:ascii="Times New Roman" w:hAnsi="Times New Roman" w:eastAsia="仿宋_GB2312" w:cs="Times New Roman"/>
          <w:b/>
          <w:sz w:val="32"/>
          <w:szCs w:val="32"/>
        </w:rPr>
      </w:pPr>
      <w:r>
        <w:rPr>
          <w:rFonts w:ascii="Times New Roman" w:hAnsi="Times New Roman" w:eastAsia="仿宋_GB2312" w:cs="Times New Roman"/>
          <w:b/>
          <w:sz w:val="32"/>
          <w:szCs w:val="32"/>
        </w:rPr>
        <w:t>（三）财政拨款支出决算具体情况</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2021年度财政拨款支出年初预算数为696.70万元，支出决算数为828.86万元，完成年初预算的118.97%，其中：</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1、教育支出（类）教育管理事务（款）其他教育管理事务支出（项）。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年初预算为439.35万元，支出决算为489.33万元，完成年初预算的111.38%，决算数大于年初预算数的主要原因是：工资变动以及年度绩效考核增长所致。</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2、教育支出（类）普通教育（款）其他教育管理事务支出（项）。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年初预算为0万元，支出决算为0.67万元，完成年初预算的100%，决算数大于年初预算数的主要原因是：本年度增加教研工作安排所致。</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3、教育支出（类）教育费附加安排的支出（款）其他教育费附加安排的支出（项）。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年初预算为126.00万元，支出决算为192.83万元，完成年初预算的153.04%，决算数大于年初预算数的主要原因是：上年结转以及本年增加教育教学研究工作安排所致支出。</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4、教育支出（类）其他教育支出（款）其他教育支出（项）。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年初预算为48.83万元，支出决算为48.83万元，完成年初预算的100%。</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5、科学技术支出（类）技术研究与开发（款）其他技术研究与开发支出（项）。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年初预算为0万元，支出决算为14.68万元，完成年初预算的100%，决算数大于年初预算数的主要原因是：上年结转安排支出。</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6、社会保障和就业支出（类）行政事业单位养老支出（款）事业单位离退休（项）。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年初预算为53.01万元，支出决算为53.01万元，完成年初预算的100%。</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7、住房保障支出（类）住房改革支出（款）住房公积金（项）。</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年初预算为29.51万元，支出决算为29.51万元，完成年初预算的100%。</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六、一般公共预算财政拨款基本支出决算情况说明</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财政拨款基本支出620.68万元，其中：人员经费561.36万元，占基本支出的90.44%,主要包括基本工资、津贴补贴、奖金、绩效工资、社会保障缴费、住房公积金、其他工资福利支出等；公用经费59.32万元，占基本支出的9.56%，主要包括办公费、印刷费、专用材料费、邮电费、公务接待费、工会经费、其他商品和服务支出等。</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七、一般公共预算财政拨款“三公”经费支出决算情况说明</w:t>
      </w:r>
    </w:p>
    <w:p>
      <w:pPr>
        <w:pStyle w:val="9"/>
        <w:spacing w:line="60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（一）“三公”经费支出决算总体情况说明</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2021年度一般公共预算财政拨款“三公”经费支出预算为5万元，支出决算为3.67万元，完成预算的73.40%，其中：</w:t>
      </w:r>
    </w:p>
    <w:p>
      <w:pPr>
        <w:pStyle w:val="9"/>
        <w:spacing w:line="600" w:lineRule="exact"/>
        <w:ind w:firstLine="800" w:firstLineChars="25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因公出国（境）费支出预算为0万元，支出决算为0万元，</w:t>
      </w:r>
      <w:r>
        <w:rPr>
          <w:rFonts w:hint="eastAsia" w:ascii="Times New Roman" w:hAnsi="Times New Roman" w:eastAsia="仿宋_GB2312" w:cs="Times New Roman"/>
          <w:sz w:val="32"/>
          <w:szCs w:val="32"/>
          <w:lang w:val="en-US" w:eastAsia="zh-CN"/>
        </w:rPr>
        <w:t>由于预算数为0，无法计算百分比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决算数与年初预算数持平。</w:t>
      </w:r>
    </w:p>
    <w:p>
      <w:pPr>
        <w:pStyle w:val="9"/>
        <w:spacing w:line="600" w:lineRule="exact"/>
        <w:ind w:firstLine="800" w:firstLineChars="25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公务接待费支出预算为5万元，支出决算为3.67万元，完成预算的73.40%，决算数小于预算数的主要原因是严格控制接待费用，与上年相比减少1.23万元，减少25.10%,减少的主要原因是从严控制单位接待费用所致。</w:t>
      </w:r>
    </w:p>
    <w:p>
      <w:pPr>
        <w:pStyle w:val="9"/>
        <w:spacing w:line="600" w:lineRule="exact"/>
        <w:ind w:firstLine="800" w:firstLineChars="25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公务用车购置费支出预算为0万元，支出决算为0万元，</w:t>
      </w:r>
      <w:r>
        <w:rPr>
          <w:rFonts w:hint="eastAsia" w:ascii="Times New Roman" w:hAnsi="Times New Roman" w:eastAsia="仿宋_GB2312" w:cs="Times New Roman"/>
          <w:sz w:val="32"/>
          <w:szCs w:val="32"/>
          <w:lang w:val="en-US" w:eastAsia="zh-CN"/>
        </w:rPr>
        <w:t>由于预算数为0，无法计算百分比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决算数与年初预算数持平。</w:t>
      </w:r>
    </w:p>
    <w:p>
      <w:pPr>
        <w:pStyle w:val="9"/>
        <w:spacing w:line="600" w:lineRule="exact"/>
        <w:rPr>
          <w:rFonts w:ascii="Times New Roman" w:hAnsi="Times New Roman" w:eastAsia="仿宋_GB2312" w:cs="Times New Roman"/>
          <w:i/>
          <w:color w:val="FF0000"/>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公务用车运行维护费支出预算为0万元，支出决算为0万元，</w:t>
      </w:r>
      <w:r>
        <w:rPr>
          <w:rFonts w:hint="eastAsia" w:ascii="Times New Roman" w:hAnsi="Times New Roman" w:eastAsia="仿宋_GB2312" w:cs="Times New Roman"/>
          <w:sz w:val="32"/>
          <w:szCs w:val="32"/>
          <w:lang w:val="en-US" w:eastAsia="zh-CN"/>
        </w:rPr>
        <w:t>由于预算数为0，无法计算百分比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决算数与年初预算数持平。</w:t>
      </w:r>
      <w:bookmarkStart w:id="2" w:name="_GoBack"/>
      <w:bookmarkEnd w:id="2"/>
      <w:r>
        <w:rPr>
          <w:rFonts w:ascii="Times New Roman" w:hAnsi="Times New Roman" w:eastAsia="仿宋_GB2312" w:cs="Times New Roman"/>
          <w:sz w:val="32"/>
          <w:szCs w:val="32"/>
        </w:rPr>
        <w:t>。与上年相比减少5.05万元，减少100%,减少的主要原因是单位公车已过使用年限，2021年交与常德市机关事务管理局处置。</w:t>
      </w:r>
    </w:p>
    <w:p>
      <w:pPr>
        <w:pStyle w:val="9"/>
        <w:spacing w:line="60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（二）“三公”经费支出决算具体情况说明</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2021年度一般公共预算财政拨款“三公”经费支出决算中，公务接待费支出决算3.67万元，占100%,因公出国（境）费支出决算0万元，占0%,公务用车购置费及运行维护费支出决算0万元，占0%。其中：</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1.因公出国（境）费支出决算为0万元，全年安排因公出国（境）团组0个，累计0人次,单位无此项经费支出。</w:t>
      </w:r>
    </w:p>
    <w:p>
      <w:pPr>
        <w:pStyle w:val="9"/>
        <w:spacing w:line="600"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2.公务接待费支出决算为3.67万元，全年共接待来访团组32个、来宾270人次，主要是开展学科教研、课题研究、职业教育研究、高考研究等活动发生的接待支出。</w:t>
      </w:r>
    </w:p>
    <w:p>
      <w:pPr>
        <w:pStyle w:val="9"/>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3.公务用车购置费及运行维护费支出决算为0万元，单位无此项经费支出。其中：公务用车购置费0万元，（单位本级或某二级机构）更新公务用车0辆</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sz w:val="32"/>
          <w:szCs w:val="32"/>
        </w:rPr>
        <w:t>公务用车运行维护费0万元，截止2021年12月31日，我单位开支财政拨款的公务用车保有量为0辆。</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八、政府性基金预算收入支出决算情况</w:t>
      </w:r>
    </w:p>
    <w:p>
      <w:pPr>
        <w:pStyle w:val="9"/>
        <w:spacing w:line="600" w:lineRule="exact"/>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 xml:space="preserve">     本单位无政府性基金收支。2021年度政府性基金预算财政拨款收入0万元；年初结转和结余0万元；支出0万元，其中基本支出0万元，项目支出0万元；年末结转和结余0万元。</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九、机关运行经费支出说明</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本单位为事业单位，2021年度本单位机关运行经费支出0万元。比年初预算数增加（减少）0 万元，增长（减少）0%。比上年决算数增加（减少）0 万元，增长（减少）0%。</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十、一般性支出情况说明</w:t>
      </w:r>
    </w:p>
    <w:p>
      <w:pPr>
        <w:pStyle w:val="13"/>
        <w:widowControl/>
        <w:tabs>
          <w:tab w:val="left" w:pos="5565"/>
        </w:tabs>
        <w:spacing w:line="600" w:lineRule="exact"/>
        <w:ind w:firstLine="641"/>
        <w:contextualSpacing/>
        <w:jc w:val="left"/>
        <w:rPr>
          <w:bCs/>
          <w:sz w:val="32"/>
          <w:szCs w:val="32"/>
        </w:rPr>
      </w:pPr>
      <w:r>
        <w:rPr>
          <w:rFonts w:eastAsia="仿宋_GB2312"/>
          <w:sz w:val="32"/>
          <w:szCs w:val="32"/>
        </w:rPr>
        <w:t>2021年度本单位开支会议费0万元；开支培训费21.28万元，用于开展常德市中等职业教育教研骨干培训，人数50人，内容为职业教育理念政策培训、中等职业教育教研活动设计方法等；举办论坛、赛事，教研比武、成果评审等活动，开支20.14万元，主要是：1.全市省市规划课题立项评审活动，经费预算1万元；2.全市初中历史课堂教学比赛暨新教材教学研讨活动，经费预算1万元；3.全市生涯规划教育研讨活动，经费预算1万元；4.全市中学英语赛课活动，经费预算1万元；5.全市初中生物复习课竞赛活动，经费预算1万元；6.全市初中物理专题教学竞赛活动，经费预算1万元；7.常德市中学数学青年教师课堂教学展示暨名师工作坊线下研修活动，经费预算1万元；8常德市中学化学教学优秀课例展示活动，经费预算1万元；9.常德市中学班主任基本功和思政课教师教学基本功展示活动，经费预算1万元；10.全市小学科学优质课观摩活动，经费预算1万元；11.全市小学数学学科带头人展示活动，经费预算1万元；12.全市中小学信息技术教研研讨活动，经费预算1万元；13全市中学新课标新教材教学竞赛活动，经费预算1万元；14、全市初中语文课堂教学展评活动，经费预算1万元；15.2022届高三一轮九大学科复习研讨活动，经费预算9万元；16.2021年小学室送教下乡活动，经费预算1万元。</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十一、政府采购支出说明</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度本单位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十二、国有资产占用情况说明</w:t>
      </w:r>
    </w:p>
    <w:p>
      <w:pPr>
        <w:pStyle w:val="9"/>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spacing w:line="600" w:lineRule="exact"/>
        <w:rPr>
          <w:rFonts w:ascii="Times New Roman" w:hAnsi="Times New Roman" w:cs="Times New Roman"/>
          <w:bCs/>
          <w:sz w:val="32"/>
          <w:szCs w:val="32"/>
        </w:rPr>
      </w:pPr>
      <w:r>
        <w:rPr>
          <w:rFonts w:ascii="Times New Roman" w:hAnsi="Times New Roman" w:cs="Times New Roman"/>
          <w:bCs/>
          <w:sz w:val="32"/>
          <w:szCs w:val="32"/>
        </w:rPr>
        <w:t xml:space="preserve">    十三、2021年度预算绩效情况说明</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kern w:val="0"/>
          <w:sz w:val="32"/>
          <w:szCs w:val="32"/>
        </w:rPr>
        <w:t>（1）绩效管理评价工作开展情况</w:t>
      </w:r>
      <w:r>
        <w:rPr>
          <w:rFonts w:ascii="Times New Roman" w:hAnsi="Times New Roman" w:eastAsia="仿宋_GB2312" w:cs="Times New Roman"/>
          <w:color w:val="000000"/>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预算绩效管理要求，本单位组织对2021年度一般公共预算项目支出全面开展绩效自评，其中，一级项目0个，二级项目0个，共涉及资金0万元，占一般公共预算项目支出总额的0%。组织对2021年度0个政府性基金预算项目支出开展绩效自评，共涉及资金0万元，占政府性基金预算项目支出总额的0%。组织对2021年度0个国有资本经营预算项目支出开展绩效自评，共涉及资金0万元，占国有资本经营预算项目支出总额的0%。</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组织对0个项目开展了部门评价，涉及一般公共预算支出0万元，政府性基金预算支出0万元，国有资本经营预算支出0万元。</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组织对单位开展整体支出绩效评价，涉及一般公共预算支出828.86万元，政府性基金预算支出0万元。从评价情况来看，达到了预期目标：坚持党建引领、提升教研实效、找到新时期常德教研工作的切入点，详见第五部分附件。</w:t>
      </w:r>
    </w:p>
    <w:p>
      <w:pPr>
        <w:autoSpaceDE w:val="0"/>
        <w:autoSpaceDN w:val="0"/>
        <w:adjustRightInd w:val="0"/>
        <w:spacing w:line="600" w:lineRule="exact"/>
        <w:ind w:firstLine="640" w:firstLineChars="200"/>
        <w:jc w:val="left"/>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（2）部门决算中项目绩效自评结果。</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无部门决算中项目绩效自评</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kern w:val="0"/>
          <w:sz w:val="32"/>
          <w:szCs w:val="32"/>
        </w:rPr>
        <w:t>（3）部门评价项目绩效评价结果。</w:t>
      </w:r>
    </w:p>
    <w:p>
      <w:pPr>
        <w:autoSpaceDE w:val="0"/>
        <w:autoSpaceDN w:val="0"/>
        <w:adjustRightIn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单位无部门评价项目。</w:t>
      </w:r>
    </w:p>
    <w:p>
      <w:pPr>
        <w:pStyle w:val="9"/>
        <w:rPr>
          <w:rFonts w:ascii="Times New Roman" w:hAnsi="Times New Roman" w:cs="Times New Roman"/>
          <w:sz w:val="72"/>
          <w:szCs w:val="72"/>
        </w:rPr>
        <w:sectPr>
          <w:pgSz w:w="11906" w:h="16838"/>
          <w:pgMar w:top="2154" w:right="1531" w:bottom="2154" w:left="1531" w:header="851" w:footer="992" w:gutter="0"/>
          <w:cols w:space="0" w:num="1"/>
          <w:docGrid w:type="linesAndChars" w:linePitch="313" w:charSpace="117"/>
        </w:sect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eastAsia="方正小标宋简体" w:cs="Times New Roman"/>
          <w:sz w:val="72"/>
          <w:szCs w:val="72"/>
        </w:rPr>
      </w:pPr>
      <w:r>
        <w:rPr>
          <w:rFonts w:ascii="Times New Roman" w:hAnsi="Times New Roman" w:eastAsia="方正小标宋简体" w:cs="Times New Roman"/>
          <w:sz w:val="72"/>
          <w:szCs w:val="72"/>
        </w:rPr>
        <w:t>第四部分</w:t>
      </w:r>
    </w:p>
    <w:p>
      <w:pPr>
        <w:jc w:val="center"/>
        <w:rPr>
          <w:rFonts w:ascii="Times New Roman" w:hAnsi="Times New Roman" w:eastAsia="方正小标宋简体" w:cs="Times New Roman"/>
          <w:color w:val="000000"/>
          <w:kern w:val="0"/>
          <w:sz w:val="70"/>
          <w:szCs w:val="70"/>
        </w:rPr>
      </w:pPr>
    </w:p>
    <w:p>
      <w:pPr>
        <w:jc w:val="center"/>
        <w:rPr>
          <w:rFonts w:ascii="Times New Roman" w:hAnsi="Times New Roman" w:eastAsia="方正小标宋简体" w:cs="Times New Roman"/>
          <w:color w:val="000000"/>
          <w:kern w:val="0"/>
          <w:sz w:val="70"/>
          <w:szCs w:val="70"/>
        </w:rPr>
      </w:pPr>
      <w:r>
        <w:rPr>
          <w:rFonts w:ascii="Times New Roman" w:hAnsi="Times New Roman" w:eastAsia="方正小标宋简体" w:cs="Times New Roman"/>
          <w:color w:val="000000"/>
          <w:kern w:val="0"/>
          <w:sz w:val="70"/>
          <w:szCs w:val="70"/>
        </w:rPr>
        <w:t>名词解释</w:t>
      </w:r>
    </w:p>
    <w:p>
      <w:pPr>
        <w:pStyle w:val="9"/>
        <w:rPr>
          <w:rFonts w:ascii="Times New Roman" w:hAnsi="Times New Roman" w:eastAsia="仿宋_GB2312" w:cs="Times New Roman"/>
          <w:sz w:val="32"/>
          <w:szCs w:val="32"/>
        </w:rPr>
      </w:pPr>
      <w:r>
        <w:rPr>
          <w:rFonts w:ascii="Times New Roman" w:hAnsi="Times New Roman" w:cs="Times New Roman"/>
          <w:sz w:val="70"/>
          <w:szCs w:val="70"/>
        </w:rPr>
        <w:br w:type="page"/>
      </w:r>
      <w:r>
        <w:rPr>
          <w:rFonts w:ascii="Times New Roman" w:hAnsi="Times New Roman" w:eastAsia="仿宋_GB2312" w:cs="Times New Roman"/>
          <w:sz w:val="70"/>
          <w:szCs w:val="70"/>
        </w:rPr>
        <w:t xml:space="preserve">  </w:t>
      </w:r>
      <w:r>
        <w:rPr>
          <w:rFonts w:ascii="Times New Roman" w:hAnsi="Times New Roman" w:eastAsia="仿宋_GB2312" w:cs="Times New Roman"/>
          <w:sz w:val="32"/>
          <w:szCs w:val="32"/>
        </w:rPr>
        <w:t>一、基本支出：指为保障机构正常运转、完成日常工作任务而发生的各项支出，包括人员支出和公用支出。</w:t>
      </w:r>
    </w:p>
    <w:p>
      <w:pPr>
        <w:pStyle w:val="9"/>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二、项目支出：指在基本支出以外为完成相关行政任务和事业发展目标所发生的各项支出。</w:t>
      </w:r>
    </w:p>
    <w:p>
      <w:pPr>
        <w:pStyle w:val="9"/>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三、“三公”经费：指通过财政拨款资金安排的因公出国（境）费、公务用车购置及运行费和公务接待费支出。</w:t>
      </w:r>
    </w:p>
    <w:p>
      <w:pPr>
        <w:pStyle w:val="9"/>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before="261" w:line="319" w:lineRule="exact"/>
        <w:jc w:val="left"/>
        <w:rPr>
          <w:rFonts w:ascii="Times New Roman" w:hAnsi="Times New Roman" w:eastAsia="仿宋_GB2312" w:cs="Times New Roman"/>
          <w:i/>
          <w:color w:val="FF0000"/>
          <w:kern w:val="0"/>
          <w:sz w:val="32"/>
          <w:szCs w:val="32"/>
        </w:rPr>
      </w:pPr>
      <w:r>
        <w:rPr>
          <w:rFonts w:ascii="Times New Roman" w:hAnsi="Times New Roman" w:eastAsia="仿宋_GB2312" w:cs="Times New Roman"/>
          <w:i/>
          <w:color w:val="FF0000"/>
          <w:kern w:val="0"/>
          <w:sz w:val="32"/>
          <w:szCs w:val="32"/>
        </w:rPr>
        <w:t xml:space="preserve"> </w:t>
      </w:r>
      <w:r>
        <w:rPr>
          <w:rFonts w:ascii="Times New Roman" w:hAnsi="Times New Roman" w:eastAsia="仿宋_GB2312" w:cs="Times New Roman"/>
          <w:color w:val="000000"/>
          <w:kern w:val="0"/>
          <w:sz w:val="32"/>
          <w:szCs w:val="32"/>
        </w:rPr>
        <w:t xml:space="preserve"> </w:t>
      </w:r>
    </w:p>
    <w:p>
      <w:pPr>
        <w:pStyle w:val="9"/>
        <w:jc w:val="both"/>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cs="Times New Roman"/>
          <w:sz w:val="72"/>
          <w:szCs w:val="72"/>
        </w:rPr>
      </w:pPr>
    </w:p>
    <w:p>
      <w:pPr>
        <w:pStyle w:val="9"/>
        <w:jc w:val="center"/>
        <w:rPr>
          <w:rFonts w:ascii="Times New Roman" w:hAnsi="Times New Roman" w:eastAsia="方正小标宋简体" w:cs="Times New Roman"/>
          <w:sz w:val="72"/>
          <w:szCs w:val="72"/>
        </w:rPr>
      </w:pPr>
      <w:r>
        <w:rPr>
          <w:rFonts w:ascii="Times New Roman" w:hAnsi="Times New Roman" w:eastAsia="方正小标宋简体" w:cs="Times New Roman"/>
          <w:sz w:val="72"/>
          <w:szCs w:val="72"/>
        </w:rPr>
        <w:t>第五部分</w:t>
      </w:r>
    </w:p>
    <w:p>
      <w:pPr>
        <w:jc w:val="center"/>
        <w:rPr>
          <w:rFonts w:ascii="Times New Roman" w:hAnsi="Times New Roman" w:eastAsia="方正小标宋简体" w:cs="Times New Roman"/>
          <w:color w:val="000000"/>
          <w:kern w:val="0"/>
          <w:sz w:val="70"/>
          <w:szCs w:val="70"/>
        </w:rPr>
      </w:pPr>
    </w:p>
    <w:p>
      <w:pPr>
        <w:jc w:val="center"/>
        <w:rPr>
          <w:rFonts w:ascii="Times New Roman" w:hAnsi="Times New Roman" w:eastAsia="方正小标宋简体" w:cs="Times New Roman"/>
          <w:color w:val="000000"/>
          <w:kern w:val="0"/>
          <w:sz w:val="70"/>
          <w:szCs w:val="70"/>
        </w:rPr>
      </w:pPr>
      <w:r>
        <w:rPr>
          <w:rFonts w:ascii="Times New Roman" w:hAnsi="Times New Roman" w:eastAsia="方正小标宋简体" w:cs="Times New Roman"/>
          <w:color w:val="000000"/>
          <w:kern w:val="0"/>
          <w:sz w:val="70"/>
          <w:szCs w:val="70"/>
        </w:rPr>
        <w:t>附  件</w:t>
      </w:r>
    </w:p>
    <w:p>
      <w:pPr>
        <w:widowControl/>
        <w:jc w:val="left"/>
        <w:rPr>
          <w:rFonts w:ascii="Times New Roman" w:hAnsi="Times New Roman" w:eastAsia="黑体" w:cs="Times New Roman"/>
          <w:color w:val="000000"/>
          <w:kern w:val="0"/>
          <w:sz w:val="70"/>
          <w:szCs w:val="70"/>
        </w:rPr>
      </w:pPr>
      <w:r>
        <w:rPr>
          <w:rFonts w:ascii="Times New Roman" w:hAnsi="Times New Roman" w:eastAsia="黑体" w:cs="Times New Roman"/>
          <w:color w:val="000000"/>
          <w:kern w:val="0"/>
          <w:sz w:val="70"/>
          <w:szCs w:val="70"/>
        </w:rPr>
        <w:br w:type="page"/>
      </w:r>
    </w:p>
    <w:p>
      <w:pPr>
        <w:ind w:firstLine="880" w:firstLineChars="200"/>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2021年度常德市教育科学研究院</w:t>
      </w:r>
    </w:p>
    <w:p>
      <w:pPr>
        <w:ind w:firstLine="880" w:firstLineChars="200"/>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整体支出绩效自评报告</w:t>
      </w:r>
    </w:p>
    <w:p>
      <w:pPr>
        <w:ind w:firstLine="880" w:firstLineChars="200"/>
        <w:jc w:val="center"/>
        <w:rPr>
          <w:rFonts w:ascii="Times New Roman" w:hAnsi="Times New Roman" w:eastAsia="方正小标宋简体" w:cs="Times New Roman"/>
          <w:bCs/>
          <w:color w:val="000000"/>
          <w:kern w:val="0"/>
          <w:sz w:val="44"/>
          <w:szCs w:val="44"/>
        </w:rPr>
      </w:pPr>
    </w:p>
    <w:p>
      <w:pPr>
        <w:rPr>
          <w:rFonts w:ascii="Times New Roman" w:hAnsi="Times New Roman" w:eastAsia="宋体" w:cs="Times New Roman"/>
          <w:sz w:val="32"/>
          <w:szCs w:val="32"/>
        </w:rPr>
      </w:pPr>
      <w:r>
        <w:rPr>
          <w:rFonts w:hint="eastAsia" w:ascii="Times New Roman" w:hAnsi="Times New Roman" w:eastAsia="宋体" w:cs="Times New Roman"/>
          <w:sz w:val="32"/>
          <w:szCs w:val="32"/>
        </w:rPr>
        <w:t>一、</w:t>
      </w:r>
      <w:r>
        <w:rPr>
          <w:rFonts w:ascii="Times New Roman" w:hAnsi="Times New Roman" w:eastAsia="宋体" w:cs="Times New Roman"/>
          <w:sz w:val="32"/>
          <w:szCs w:val="32"/>
        </w:rPr>
        <w:t>单位基本情况</w:t>
      </w:r>
    </w:p>
    <w:p>
      <w:pPr>
        <w:rPr>
          <w:rFonts w:ascii="Times New Roman" w:hAnsi="Times New Roman" w:eastAsia="宋体" w:cs="Times New Roman"/>
          <w:sz w:val="32"/>
          <w:szCs w:val="32"/>
        </w:rPr>
      </w:pPr>
      <w:r>
        <w:rPr>
          <w:rFonts w:ascii="Times New Roman" w:hAnsi="Times New Roman" w:eastAsia="宋体" w:cs="Times New Roman"/>
          <w:sz w:val="32"/>
          <w:szCs w:val="32"/>
        </w:rPr>
        <w:t>（一）机构、人员构成</w:t>
      </w:r>
    </w:p>
    <w:p>
      <w:pPr>
        <w:ind w:right="28" w:firstLine="640"/>
        <w:rPr>
          <w:rFonts w:ascii="Times New Roman" w:hAnsi="Times New Roman" w:eastAsia="宋体" w:cs="Times New Roman"/>
          <w:sz w:val="32"/>
          <w:szCs w:val="32"/>
        </w:rPr>
      </w:pPr>
      <w:r>
        <w:rPr>
          <w:rFonts w:ascii="Times New Roman" w:hAnsi="Times New Roman" w:eastAsia="宋体" w:cs="Times New Roman"/>
          <w:sz w:val="32"/>
          <w:szCs w:val="32"/>
        </w:rPr>
        <w:t>我单位属全额拨款的副处级事业单位，主管部门为常德市教育局。</w:t>
      </w:r>
      <w:r>
        <w:rPr>
          <w:rFonts w:ascii="Times New Roman" w:hAnsi="Times New Roman" w:eastAsia="宋体" w:cs="Times New Roman"/>
          <w:kern w:val="0"/>
          <w:sz w:val="32"/>
          <w:szCs w:val="32"/>
        </w:rPr>
        <w:t>内设科室共5个，分别是：</w:t>
      </w:r>
      <w:r>
        <w:rPr>
          <w:rFonts w:ascii="Times New Roman" w:hAnsi="Times New Roman" w:eastAsia="宋体" w:cs="Times New Roman"/>
          <w:sz w:val="32"/>
          <w:szCs w:val="32"/>
        </w:rPr>
        <w:t>中学教研室、小学教研室、职业教育研究室、规划与发展研究室、办公室。单位人员编制25人，截止2021年12月份在编在职人员24人，退休人员10人。</w:t>
      </w:r>
    </w:p>
    <w:p>
      <w:pPr>
        <w:rPr>
          <w:rFonts w:ascii="Times New Roman" w:hAnsi="Times New Roman" w:eastAsia="宋体" w:cs="Times New Roman"/>
          <w:sz w:val="32"/>
          <w:szCs w:val="32"/>
        </w:rPr>
      </w:pPr>
      <w:r>
        <w:rPr>
          <w:rFonts w:ascii="Times New Roman" w:hAnsi="Times New Roman" w:eastAsia="宋体" w:cs="Times New Roman"/>
          <w:sz w:val="32"/>
          <w:szCs w:val="32"/>
        </w:rPr>
        <w:t>（二）单位主要职责</w:t>
      </w:r>
    </w:p>
    <w:p>
      <w:pPr>
        <w:ind w:right="28"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主要负责全市中小学教育教学研究和职业教育教学研究工作，主要工作任务为：</w:t>
      </w:r>
    </w:p>
    <w:p>
      <w:pPr>
        <w:ind w:right="28" w:firstLine="640" w:firstLineChars="200"/>
        <w:rPr>
          <w:rFonts w:ascii="Times New Roman" w:hAnsi="Times New Roman" w:eastAsia="宋体" w:cs="Times New Roman"/>
          <w:sz w:val="32"/>
          <w:szCs w:val="32"/>
        </w:rPr>
      </w:pPr>
      <w:r>
        <w:rPr>
          <w:rFonts w:hint="eastAsia" w:ascii="Times New Roman" w:hAnsi="Times New Roman" w:eastAsia="宋体" w:cs="Times New Roman"/>
          <w:sz w:val="32"/>
          <w:szCs w:val="32"/>
        </w:rPr>
        <w:t>1.</w:t>
      </w:r>
      <w:r>
        <w:rPr>
          <w:rFonts w:ascii="Times New Roman" w:hAnsi="Times New Roman" w:eastAsia="宋体" w:cs="Times New Roman"/>
          <w:sz w:val="32"/>
          <w:szCs w:val="32"/>
        </w:rPr>
        <w:t>负责制定全市教育教学研究规划并组织实施。</w:t>
      </w:r>
    </w:p>
    <w:p>
      <w:pPr>
        <w:ind w:right="28" w:firstLine="640" w:firstLineChars="200"/>
        <w:rPr>
          <w:rFonts w:ascii="Times New Roman" w:hAnsi="Times New Roman" w:eastAsia="宋体" w:cs="Times New Roman"/>
          <w:sz w:val="32"/>
          <w:szCs w:val="32"/>
        </w:rPr>
      </w:pPr>
      <w:r>
        <w:rPr>
          <w:rFonts w:hint="eastAsia" w:ascii="Times New Roman" w:hAnsi="Times New Roman" w:eastAsia="宋体" w:cs="Times New Roman"/>
          <w:sz w:val="32"/>
          <w:szCs w:val="32"/>
        </w:rPr>
        <w:t>2.</w:t>
      </w:r>
      <w:r>
        <w:rPr>
          <w:rFonts w:ascii="Times New Roman" w:hAnsi="Times New Roman" w:eastAsia="宋体" w:cs="Times New Roman"/>
          <w:sz w:val="32"/>
          <w:szCs w:val="32"/>
        </w:rPr>
        <w:t>负责开展普通中小学和职业技术教育教学研究工作；负责根据有关政策编辑（编写）和发行地方教材、学报、学刊等教育教学资料；负责及时收集、整理、发布教育信息。</w:t>
      </w:r>
    </w:p>
    <w:p>
      <w:pPr>
        <w:ind w:right="28" w:firstLine="640" w:firstLineChars="200"/>
        <w:rPr>
          <w:rFonts w:ascii="Times New Roman" w:hAnsi="Times New Roman" w:eastAsia="宋体" w:cs="Times New Roman"/>
          <w:sz w:val="32"/>
          <w:szCs w:val="32"/>
        </w:rPr>
      </w:pPr>
      <w:r>
        <w:rPr>
          <w:rFonts w:hint="eastAsia" w:ascii="Times New Roman" w:hAnsi="Times New Roman" w:eastAsia="宋体" w:cs="Times New Roman"/>
          <w:sz w:val="32"/>
          <w:szCs w:val="32"/>
        </w:rPr>
        <w:t>3.</w:t>
      </w:r>
      <w:r>
        <w:rPr>
          <w:rFonts w:ascii="Times New Roman" w:hAnsi="Times New Roman" w:eastAsia="宋体" w:cs="Times New Roman"/>
          <w:sz w:val="32"/>
          <w:szCs w:val="32"/>
        </w:rPr>
        <w:t>负责指导全市各级各类学校的教育科研和教学研究工作。</w:t>
      </w:r>
    </w:p>
    <w:p>
      <w:pPr>
        <w:ind w:right="28" w:firstLine="640" w:firstLineChars="200"/>
        <w:rPr>
          <w:rFonts w:ascii="Times New Roman" w:hAnsi="Times New Roman" w:eastAsia="宋体" w:cs="Times New Roman"/>
          <w:sz w:val="32"/>
          <w:szCs w:val="32"/>
        </w:rPr>
      </w:pPr>
      <w:r>
        <w:rPr>
          <w:rFonts w:hint="eastAsia" w:ascii="Times New Roman" w:hAnsi="Times New Roman" w:eastAsia="宋体" w:cs="Times New Roman"/>
          <w:sz w:val="32"/>
          <w:szCs w:val="32"/>
        </w:rPr>
        <w:t>4.</w:t>
      </w:r>
      <w:r>
        <w:rPr>
          <w:rFonts w:ascii="Times New Roman" w:hAnsi="Times New Roman" w:eastAsia="宋体" w:cs="Times New Roman"/>
          <w:sz w:val="32"/>
          <w:szCs w:val="32"/>
        </w:rPr>
        <w:t>负责指导与教育教学研究有关的学会、协会工作。</w:t>
      </w:r>
    </w:p>
    <w:p>
      <w:pPr>
        <w:ind w:right="28" w:firstLine="640" w:firstLineChars="200"/>
        <w:rPr>
          <w:rFonts w:ascii="Times New Roman" w:hAnsi="Times New Roman" w:eastAsia="宋体" w:cs="Times New Roman"/>
          <w:sz w:val="32"/>
          <w:szCs w:val="32"/>
        </w:rPr>
      </w:pPr>
      <w:r>
        <w:rPr>
          <w:rFonts w:hint="eastAsia" w:ascii="Times New Roman" w:hAnsi="Times New Roman" w:eastAsia="宋体" w:cs="Times New Roman"/>
          <w:sz w:val="32"/>
          <w:szCs w:val="32"/>
        </w:rPr>
        <w:t>5.</w:t>
      </w:r>
      <w:r>
        <w:rPr>
          <w:rFonts w:ascii="Times New Roman" w:hAnsi="Times New Roman" w:eastAsia="宋体" w:cs="Times New Roman"/>
          <w:sz w:val="32"/>
          <w:szCs w:val="32"/>
        </w:rPr>
        <w:t>完成市委、市政府和市教育局交办的其他工作。</w:t>
      </w:r>
    </w:p>
    <w:p>
      <w:pPr>
        <w:rPr>
          <w:rFonts w:ascii="Times New Roman" w:hAnsi="Times New Roman" w:eastAsia="宋体" w:cs="Times New Roman"/>
          <w:sz w:val="32"/>
          <w:szCs w:val="32"/>
        </w:rPr>
      </w:pPr>
      <w:r>
        <w:rPr>
          <w:rFonts w:ascii="Times New Roman" w:hAnsi="Times New Roman" w:eastAsia="宋体" w:cs="Times New Roman"/>
          <w:sz w:val="32"/>
          <w:szCs w:val="32"/>
        </w:rPr>
        <w:t>（三）单位财务情况</w:t>
      </w:r>
    </w:p>
    <w:p>
      <w:pPr>
        <w:rPr>
          <w:rFonts w:ascii="Times New Roman" w:hAnsi="Times New Roman" w:eastAsia="宋体" w:cs="Times New Roman"/>
          <w:sz w:val="32"/>
          <w:szCs w:val="32"/>
        </w:rPr>
      </w:pPr>
      <w:r>
        <w:rPr>
          <w:rFonts w:ascii="Times New Roman" w:hAnsi="Times New Roman" w:eastAsia="宋体" w:cs="Times New Roman"/>
          <w:sz w:val="32"/>
          <w:szCs w:val="32"/>
        </w:rPr>
        <w:t>1. 资产负债及净资产情况</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2021年12月31日单位资产总额318.68万元，其中：流动资产42.16万元、非流动资产276.52万元，净资产总额318.68万元。</w:t>
      </w:r>
    </w:p>
    <w:p>
      <w:pPr>
        <w:rPr>
          <w:rFonts w:ascii="Times New Roman" w:hAnsi="Times New Roman" w:eastAsia="宋体" w:cs="Times New Roman"/>
          <w:sz w:val="32"/>
          <w:szCs w:val="32"/>
        </w:rPr>
      </w:pPr>
      <w:r>
        <w:rPr>
          <w:rFonts w:ascii="Times New Roman" w:hAnsi="Times New Roman" w:eastAsia="宋体" w:cs="Times New Roman"/>
          <w:sz w:val="32"/>
          <w:szCs w:val="32"/>
        </w:rPr>
        <w:t>2. 单位整体收支情况</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2021年度收入合计870.95万元，其中：财政拨款收入870.95万元，占100%。2021年度支出合计828.86万元，其中：基本支出620.68万元，占74.88%；项目支出208.18万元，占25.12%年末结转结余42.09万元，均为项目结转资金。</w:t>
      </w:r>
    </w:p>
    <w:p>
      <w:pPr>
        <w:rPr>
          <w:rFonts w:ascii="Times New Roman" w:hAnsi="Times New Roman" w:eastAsia="宋体" w:cs="Times New Roman"/>
          <w:sz w:val="32"/>
          <w:szCs w:val="32"/>
        </w:rPr>
      </w:pPr>
      <w:r>
        <w:rPr>
          <w:rFonts w:ascii="Times New Roman" w:hAnsi="Times New Roman" w:eastAsia="宋体" w:cs="Times New Roman"/>
          <w:sz w:val="32"/>
          <w:szCs w:val="32"/>
        </w:rPr>
        <w:t>（四）单位绩效目标</w:t>
      </w:r>
    </w:p>
    <w:p>
      <w:pPr>
        <w:rPr>
          <w:rFonts w:ascii="Times New Roman" w:hAnsi="Times New Roman" w:eastAsia="宋体" w:cs="Times New Roman"/>
          <w:sz w:val="32"/>
          <w:szCs w:val="32"/>
        </w:rPr>
      </w:pPr>
      <w:r>
        <w:rPr>
          <w:rFonts w:ascii="Times New Roman" w:hAnsi="Times New Roman" w:eastAsia="宋体" w:cs="Times New Roman"/>
          <w:sz w:val="32"/>
          <w:szCs w:val="32"/>
        </w:rPr>
        <w:t>1. 单位绩效总目标</w:t>
      </w:r>
    </w:p>
    <w:p>
      <w:pPr>
        <w:rPr>
          <w:rFonts w:ascii="Times New Roman" w:hAnsi="Times New Roman" w:eastAsia="宋体" w:cs="Times New Roman"/>
          <w:sz w:val="32"/>
          <w:szCs w:val="32"/>
        </w:rPr>
      </w:pPr>
      <w:r>
        <w:rPr>
          <w:rFonts w:ascii="Times New Roman" w:hAnsi="Times New Roman" w:eastAsia="宋体" w:cs="Times New Roman"/>
          <w:sz w:val="32"/>
          <w:szCs w:val="32"/>
        </w:rPr>
        <w:t>（1）突出政治建设；</w:t>
      </w:r>
    </w:p>
    <w:p>
      <w:pPr>
        <w:rPr>
          <w:rFonts w:ascii="Times New Roman" w:hAnsi="Times New Roman" w:eastAsia="宋体" w:cs="Times New Roman"/>
          <w:sz w:val="32"/>
          <w:szCs w:val="32"/>
        </w:rPr>
      </w:pPr>
      <w:r>
        <w:rPr>
          <w:rFonts w:ascii="Times New Roman" w:hAnsi="Times New Roman" w:eastAsia="宋体" w:cs="Times New Roman"/>
          <w:sz w:val="32"/>
          <w:szCs w:val="32"/>
        </w:rPr>
        <w:t>（2）研究关键环节；</w:t>
      </w:r>
    </w:p>
    <w:p>
      <w:pPr>
        <w:rPr>
          <w:rFonts w:ascii="Times New Roman" w:hAnsi="Times New Roman" w:eastAsia="宋体" w:cs="Times New Roman"/>
          <w:sz w:val="32"/>
          <w:szCs w:val="32"/>
        </w:rPr>
      </w:pPr>
      <w:r>
        <w:rPr>
          <w:rFonts w:ascii="Times New Roman" w:hAnsi="Times New Roman" w:eastAsia="宋体" w:cs="Times New Roman"/>
          <w:sz w:val="32"/>
          <w:szCs w:val="32"/>
        </w:rPr>
        <w:t>（3）夯实常规教研；</w:t>
      </w:r>
    </w:p>
    <w:p>
      <w:pPr>
        <w:rPr>
          <w:rFonts w:ascii="Times New Roman" w:hAnsi="Times New Roman" w:eastAsia="宋体" w:cs="Times New Roman"/>
          <w:sz w:val="32"/>
          <w:szCs w:val="32"/>
        </w:rPr>
      </w:pPr>
      <w:r>
        <w:rPr>
          <w:rFonts w:ascii="Times New Roman" w:hAnsi="Times New Roman" w:eastAsia="宋体" w:cs="Times New Roman"/>
          <w:sz w:val="32"/>
          <w:szCs w:val="32"/>
        </w:rPr>
        <w:t>（4）落实课题及项目研究；</w:t>
      </w:r>
    </w:p>
    <w:p>
      <w:pPr>
        <w:rPr>
          <w:rFonts w:ascii="Times New Roman" w:hAnsi="Times New Roman" w:eastAsia="宋体" w:cs="Times New Roman"/>
          <w:sz w:val="32"/>
          <w:szCs w:val="32"/>
        </w:rPr>
      </w:pPr>
      <w:r>
        <w:rPr>
          <w:rFonts w:ascii="Times New Roman" w:hAnsi="Times New Roman" w:eastAsia="宋体" w:cs="Times New Roman"/>
          <w:sz w:val="32"/>
          <w:szCs w:val="32"/>
        </w:rPr>
        <w:t>（5）完善质量监控；</w:t>
      </w:r>
    </w:p>
    <w:p>
      <w:pPr>
        <w:rPr>
          <w:rFonts w:ascii="Times New Roman" w:hAnsi="Times New Roman" w:eastAsia="宋体" w:cs="Times New Roman"/>
          <w:sz w:val="32"/>
          <w:szCs w:val="32"/>
        </w:rPr>
      </w:pPr>
      <w:r>
        <w:rPr>
          <w:rFonts w:ascii="Times New Roman" w:hAnsi="Times New Roman" w:eastAsia="宋体" w:cs="Times New Roman"/>
          <w:sz w:val="32"/>
          <w:szCs w:val="32"/>
        </w:rPr>
        <w:t>（6）加强队伍建设；</w:t>
      </w:r>
    </w:p>
    <w:p>
      <w:pPr>
        <w:rPr>
          <w:rFonts w:ascii="Times New Roman" w:hAnsi="Times New Roman" w:eastAsia="宋体" w:cs="Times New Roman"/>
          <w:sz w:val="32"/>
          <w:szCs w:val="32"/>
        </w:rPr>
      </w:pPr>
      <w:r>
        <w:rPr>
          <w:rFonts w:ascii="Times New Roman" w:hAnsi="Times New Roman" w:eastAsia="宋体" w:cs="Times New Roman"/>
          <w:sz w:val="32"/>
          <w:szCs w:val="32"/>
        </w:rPr>
        <w:t>（7）增强考核力度，找到新时期常德教研工作的切入点。</w:t>
      </w:r>
    </w:p>
    <w:p>
      <w:pPr>
        <w:rPr>
          <w:rFonts w:ascii="Times New Roman" w:hAnsi="Times New Roman" w:eastAsia="宋体" w:cs="Times New Roman"/>
          <w:sz w:val="32"/>
          <w:szCs w:val="32"/>
        </w:rPr>
      </w:pPr>
      <w:r>
        <w:rPr>
          <w:rFonts w:ascii="Times New Roman" w:hAnsi="Times New Roman" w:eastAsia="宋体" w:cs="Times New Roman"/>
          <w:sz w:val="32"/>
          <w:szCs w:val="32"/>
        </w:rPr>
        <w:t>2. 单位2021年度绩效目标</w:t>
      </w:r>
    </w:p>
    <w:p>
      <w:pPr>
        <w:rPr>
          <w:rFonts w:ascii="Times New Roman" w:hAnsi="Times New Roman" w:eastAsia="宋体" w:cs="Times New Roman"/>
          <w:sz w:val="32"/>
          <w:szCs w:val="32"/>
        </w:rPr>
      </w:pPr>
      <w:r>
        <w:rPr>
          <w:rFonts w:ascii="Times New Roman" w:hAnsi="Times New Roman" w:eastAsia="宋体" w:cs="Times New Roman"/>
          <w:sz w:val="32"/>
          <w:szCs w:val="32"/>
        </w:rPr>
        <w:t>（1）产出指标</w:t>
      </w:r>
    </w:p>
    <w:p>
      <w:pPr>
        <w:rPr>
          <w:rFonts w:ascii="Times New Roman" w:hAnsi="Times New Roman" w:eastAsia="宋体" w:cs="Times New Roman"/>
          <w:sz w:val="32"/>
          <w:szCs w:val="32"/>
        </w:rPr>
      </w:pPr>
      <w:r>
        <w:rPr>
          <w:rFonts w:ascii="宋体" w:hAnsi="Times New Roman" w:eastAsia="宋体" w:cs="Times New Roman"/>
          <w:sz w:val="32"/>
          <w:szCs w:val="32"/>
        </w:rPr>
        <w:t>①</w:t>
      </w:r>
      <w:r>
        <w:rPr>
          <w:rFonts w:ascii="Times New Roman" w:hAnsi="Times New Roman" w:eastAsia="宋体" w:cs="Times New Roman"/>
          <w:sz w:val="32"/>
          <w:szCs w:val="32"/>
        </w:rPr>
        <w:t>数量指标。市级课题开题30项；九大学科（语文、数学、英语、物理、历史、政治、化学、生物、地理）高三复习研讨活动保质保量举办；各学科优质论文评选；教学视导，涉及小学、初中、高中各学段、各学科；中考命题，涉及初三七大学科、初二生地会考。</w:t>
      </w:r>
    </w:p>
    <w:p>
      <w:pPr>
        <w:rPr>
          <w:rFonts w:ascii="Times New Roman" w:hAnsi="Times New Roman" w:eastAsia="宋体" w:cs="Times New Roman"/>
          <w:sz w:val="32"/>
          <w:szCs w:val="32"/>
        </w:rPr>
      </w:pPr>
      <w:r>
        <w:rPr>
          <w:rFonts w:ascii="宋体" w:hAnsi="Times New Roman" w:eastAsia="宋体" w:cs="Times New Roman"/>
          <w:sz w:val="32"/>
          <w:szCs w:val="32"/>
        </w:rPr>
        <w:t>②</w:t>
      </w:r>
      <w:r>
        <w:rPr>
          <w:rFonts w:ascii="Times New Roman" w:hAnsi="Times New Roman" w:eastAsia="宋体" w:cs="Times New Roman"/>
          <w:sz w:val="32"/>
          <w:szCs w:val="32"/>
        </w:rPr>
        <w:t>质量指标。课题开题率、课题中期检查率均为100%。九大学科高三复习研讨活动100%开展。学科论文评选率100%。</w:t>
      </w:r>
      <w:r>
        <w:rPr>
          <w:rFonts w:hint="eastAsia" w:ascii="Times New Roman" w:hAnsi="Times New Roman" w:eastAsia="宋体" w:cs="Times New Roman"/>
          <w:sz w:val="32"/>
          <w:szCs w:val="32"/>
        </w:rPr>
        <w:t>教学视导</w:t>
      </w:r>
      <w:r>
        <w:rPr>
          <w:rFonts w:ascii="Times New Roman" w:hAnsi="Times New Roman" w:eastAsia="宋体" w:cs="Times New Roman"/>
          <w:sz w:val="32"/>
          <w:szCs w:val="32"/>
        </w:rPr>
        <w:t>100%开展</w:t>
      </w:r>
      <w:r>
        <w:rPr>
          <w:rFonts w:hint="eastAsia" w:ascii="Times New Roman" w:hAnsi="Times New Roman" w:eastAsia="宋体" w:cs="Times New Roman"/>
          <w:sz w:val="32"/>
          <w:szCs w:val="32"/>
        </w:rPr>
        <w:t>。中考命题</w:t>
      </w:r>
      <w:r>
        <w:rPr>
          <w:rFonts w:ascii="Times New Roman" w:hAnsi="Times New Roman" w:eastAsia="宋体" w:cs="Times New Roman"/>
          <w:sz w:val="32"/>
          <w:szCs w:val="32"/>
        </w:rPr>
        <w:t>100%开展</w:t>
      </w:r>
      <w:r>
        <w:rPr>
          <w:rFonts w:hint="eastAsia" w:ascii="Times New Roman" w:hAnsi="Times New Roman" w:eastAsia="宋体" w:cs="Times New Roman"/>
          <w:sz w:val="32"/>
          <w:szCs w:val="32"/>
        </w:rPr>
        <w:t>。</w:t>
      </w:r>
    </w:p>
    <w:p>
      <w:pPr>
        <w:rPr>
          <w:rFonts w:ascii="Times New Roman" w:hAnsi="Times New Roman" w:eastAsia="宋体" w:cs="Times New Roman"/>
          <w:sz w:val="32"/>
          <w:szCs w:val="32"/>
        </w:rPr>
      </w:pPr>
      <w:r>
        <w:rPr>
          <w:rFonts w:ascii="宋体" w:hAnsi="Times New Roman" w:eastAsia="宋体" w:cs="Times New Roman"/>
          <w:sz w:val="32"/>
          <w:szCs w:val="32"/>
        </w:rPr>
        <w:t>③</w:t>
      </w:r>
      <w:r>
        <w:rPr>
          <w:rFonts w:ascii="Times New Roman" w:hAnsi="Times New Roman" w:eastAsia="宋体" w:cs="Times New Roman"/>
          <w:sz w:val="32"/>
          <w:szCs w:val="32"/>
        </w:rPr>
        <w:t>时效指标。任务完成及时率100%。</w:t>
      </w:r>
    </w:p>
    <w:p>
      <w:pPr>
        <w:rPr>
          <w:rFonts w:ascii="Times New Roman" w:hAnsi="Times New Roman" w:eastAsia="宋体" w:cs="Times New Roman"/>
          <w:sz w:val="32"/>
          <w:szCs w:val="32"/>
        </w:rPr>
      </w:pPr>
      <w:r>
        <w:rPr>
          <w:rFonts w:ascii="宋体" w:hAnsi="Times New Roman" w:eastAsia="宋体" w:cs="Times New Roman"/>
          <w:sz w:val="32"/>
          <w:szCs w:val="32"/>
        </w:rPr>
        <w:t>④</w:t>
      </w:r>
      <w:r>
        <w:rPr>
          <w:rFonts w:ascii="Times New Roman" w:hAnsi="Times New Roman" w:eastAsia="宋体" w:cs="Times New Roman"/>
          <w:sz w:val="32"/>
          <w:szCs w:val="32"/>
        </w:rPr>
        <w:t>成本指标。成本发生规范合理率100%。</w:t>
      </w:r>
    </w:p>
    <w:p>
      <w:pPr>
        <w:rPr>
          <w:rFonts w:ascii="Times New Roman" w:hAnsi="Times New Roman" w:eastAsia="宋体" w:cs="Times New Roman"/>
          <w:sz w:val="32"/>
          <w:szCs w:val="32"/>
        </w:rPr>
      </w:pPr>
      <w:r>
        <w:rPr>
          <w:rFonts w:ascii="Times New Roman" w:hAnsi="Times New Roman" w:eastAsia="宋体" w:cs="Times New Roman"/>
          <w:sz w:val="32"/>
          <w:szCs w:val="32"/>
        </w:rPr>
        <w:t>（2）效益指标</w:t>
      </w:r>
    </w:p>
    <w:p>
      <w:pPr>
        <w:rPr>
          <w:rFonts w:ascii="Times New Roman" w:hAnsi="Times New Roman" w:eastAsia="宋体" w:cs="Times New Roman"/>
          <w:sz w:val="32"/>
          <w:szCs w:val="32"/>
        </w:rPr>
      </w:pPr>
      <w:r>
        <w:rPr>
          <w:rFonts w:ascii="宋体" w:hAnsi="Times New Roman" w:eastAsia="宋体" w:cs="Times New Roman"/>
          <w:sz w:val="32"/>
          <w:szCs w:val="32"/>
        </w:rPr>
        <w:t>①</w:t>
      </w:r>
      <w:r>
        <w:rPr>
          <w:rFonts w:ascii="Times New Roman" w:hAnsi="Times New Roman" w:eastAsia="宋体" w:cs="Times New Roman"/>
          <w:sz w:val="32"/>
          <w:szCs w:val="32"/>
        </w:rPr>
        <w:t>提升基础教育水平，提高教师教学水平。</w:t>
      </w:r>
    </w:p>
    <w:p>
      <w:pPr>
        <w:rPr>
          <w:rFonts w:ascii="Times New Roman" w:hAnsi="Times New Roman" w:eastAsia="宋体" w:cs="Times New Roman"/>
          <w:sz w:val="32"/>
          <w:szCs w:val="32"/>
        </w:rPr>
      </w:pPr>
      <w:r>
        <w:rPr>
          <w:rFonts w:ascii="宋体" w:hAnsi="Times New Roman" w:eastAsia="宋体" w:cs="Times New Roman"/>
          <w:sz w:val="32"/>
          <w:szCs w:val="32"/>
        </w:rPr>
        <w:t>②</w:t>
      </w:r>
      <w:r>
        <w:rPr>
          <w:rFonts w:ascii="Times New Roman" w:hAnsi="Times New Roman" w:eastAsia="宋体" w:cs="Times New Roman"/>
          <w:sz w:val="32"/>
          <w:szCs w:val="32"/>
        </w:rPr>
        <w:t>减轻教师负担，减轻学生课业负担。</w:t>
      </w:r>
    </w:p>
    <w:p>
      <w:pPr>
        <w:rPr>
          <w:rFonts w:ascii="Times New Roman" w:hAnsi="Times New Roman" w:eastAsia="宋体" w:cs="Times New Roman"/>
          <w:sz w:val="32"/>
          <w:szCs w:val="32"/>
        </w:rPr>
      </w:pPr>
      <w:r>
        <w:rPr>
          <w:rFonts w:ascii="宋体" w:hAnsi="Times New Roman" w:eastAsia="宋体" w:cs="Times New Roman"/>
          <w:sz w:val="32"/>
          <w:szCs w:val="32"/>
        </w:rPr>
        <w:t>③</w:t>
      </w:r>
      <w:r>
        <w:rPr>
          <w:rFonts w:ascii="Times New Roman" w:hAnsi="Times New Roman" w:eastAsia="宋体" w:cs="Times New Roman"/>
          <w:sz w:val="32"/>
          <w:szCs w:val="32"/>
        </w:rPr>
        <w:t>满意度。师生满意度90%以上，社会公众满意度90%以上。</w:t>
      </w:r>
    </w:p>
    <w:p>
      <w:pPr>
        <w:rPr>
          <w:rFonts w:ascii="Times New Roman" w:hAnsi="Times New Roman" w:eastAsia="宋体" w:cs="Times New Roman"/>
          <w:sz w:val="32"/>
          <w:szCs w:val="32"/>
        </w:rPr>
      </w:pPr>
      <w:r>
        <w:rPr>
          <w:rFonts w:ascii="Times New Roman" w:hAnsi="Times New Roman" w:eastAsia="宋体" w:cs="Times New Roman"/>
          <w:sz w:val="32"/>
          <w:szCs w:val="32"/>
        </w:rPr>
        <w:t>二、一般公共预算支出情况</w:t>
      </w:r>
    </w:p>
    <w:p>
      <w:pPr>
        <w:pStyle w:val="9"/>
        <w:spacing w:line="600" w:lineRule="exact"/>
        <w:ind w:firstLine="640" w:firstLineChars="200"/>
        <w:rPr>
          <w:rFonts w:ascii="Times New Roman" w:hAnsi="Times New Roman" w:eastAsia="宋体" w:cs="Times New Roman"/>
          <w:i/>
          <w:color w:val="FF0000"/>
          <w:sz w:val="32"/>
          <w:szCs w:val="32"/>
        </w:rPr>
      </w:pPr>
      <w:r>
        <w:rPr>
          <w:rFonts w:ascii="Times New Roman" w:hAnsi="Times New Roman" w:eastAsia="宋体" w:cs="Times New Roman"/>
          <w:sz w:val="32"/>
          <w:szCs w:val="32"/>
        </w:rPr>
        <w:t>2021年度一般公共预算支出828.86万元，占本年支出合计的100%。主要用于以下方面：教育（类）支出731.66万元，占88.27%;科学技术支出14.68万元，占1.77%；社会保障和就业支出53.01万元，占6.40%；住房保障支出29.51万元，占3.56%。</w:t>
      </w:r>
    </w:p>
    <w:p>
      <w:pPr>
        <w:rPr>
          <w:rFonts w:ascii="Times New Roman" w:hAnsi="Times New Roman" w:eastAsia="宋体" w:cs="Times New Roman"/>
          <w:sz w:val="32"/>
          <w:szCs w:val="32"/>
        </w:rPr>
      </w:pPr>
      <w:r>
        <w:rPr>
          <w:rFonts w:ascii="Times New Roman" w:hAnsi="Times New Roman" w:eastAsia="宋体" w:cs="Times New Roman"/>
          <w:sz w:val="32"/>
          <w:szCs w:val="32"/>
        </w:rPr>
        <w:t>三、政府性基金预算支出情况</w:t>
      </w:r>
    </w:p>
    <w:p>
      <w:pPr>
        <w:rPr>
          <w:rFonts w:ascii="Times New Roman" w:hAnsi="Times New Roman" w:eastAsia="宋体" w:cs="Times New Roman"/>
          <w:sz w:val="32"/>
          <w:szCs w:val="32"/>
        </w:rPr>
      </w:pPr>
      <w:r>
        <w:rPr>
          <w:rFonts w:ascii="Times New Roman" w:hAnsi="Times New Roman" w:eastAsia="宋体" w:cs="Times New Roman"/>
          <w:sz w:val="32"/>
          <w:szCs w:val="32"/>
        </w:rPr>
        <w:t xml:space="preserve">    无</w:t>
      </w:r>
    </w:p>
    <w:p>
      <w:pPr>
        <w:rPr>
          <w:rFonts w:ascii="Times New Roman" w:hAnsi="Times New Roman" w:eastAsia="宋体" w:cs="Times New Roman"/>
          <w:sz w:val="32"/>
          <w:szCs w:val="32"/>
        </w:rPr>
      </w:pPr>
      <w:r>
        <w:rPr>
          <w:rFonts w:ascii="Times New Roman" w:hAnsi="Times New Roman" w:eastAsia="宋体" w:cs="Times New Roman"/>
          <w:sz w:val="32"/>
          <w:szCs w:val="32"/>
        </w:rPr>
        <w:t>四、国有资本经营预算支出情况</w:t>
      </w:r>
    </w:p>
    <w:p>
      <w:pPr>
        <w:rPr>
          <w:rFonts w:ascii="Times New Roman" w:hAnsi="Times New Roman" w:eastAsia="宋体" w:cs="Times New Roman"/>
          <w:sz w:val="32"/>
          <w:szCs w:val="32"/>
        </w:rPr>
      </w:pPr>
      <w:r>
        <w:rPr>
          <w:rFonts w:ascii="Times New Roman" w:hAnsi="Times New Roman" w:eastAsia="宋体" w:cs="Times New Roman"/>
          <w:sz w:val="32"/>
          <w:szCs w:val="32"/>
        </w:rPr>
        <w:t xml:space="preserve">    无</w:t>
      </w:r>
    </w:p>
    <w:p>
      <w:pPr>
        <w:rPr>
          <w:rFonts w:ascii="Times New Roman" w:hAnsi="Times New Roman" w:eastAsia="宋体" w:cs="Times New Roman"/>
          <w:sz w:val="32"/>
          <w:szCs w:val="32"/>
        </w:rPr>
      </w:pPr>
      <w:r>
        <w:rPr>
          <w:rFonts w:ascii="Times New Roman" w:hAnsi="Times New Roman" w:eastAsia="宋体" w:cs="Times New Roman"/>
          <w:sz w:val="32"/>
          <w:szCs w:val="32"/>
        </w:rPr>
        <w:t>五、社会保险基金预算支出情况</w:t>
      </w:r>
    </w:p>
    <w:p>
      <w:pPr>
        <w:rPr>
          <w:rFonts w:ascii="Times New Roman" w:hAnsi="Times New Roman" w:eastAsia="宋体" w:cs="Times New Roman"/>
          <w:sz w:val="32"/>
          <w:szCs w:val="32"/>
        </w:rPr>
      </w:pPr>
      <w:r>
        <w:rPr>
          <w:rFonts w:ascii="Times New Roman" w:hAnsi="Times New Roman" w:eastAsia="宋体" w:cs="Times New Roman"/>
          <w:sz w:val="32"/>
          <w:szCs w:val="32"/>
        </w:rPr>
        <w:t xml:space="preserve">    无</w:t>
      </w:r>
    </w:p>
    <w:p>
      <w:pPr>
        <w:rPr>
          <w:rFonts w:ascii="Times New Roman" w:hAnsi="Times New Roman" w:eastAsia="宋体" w:cs="Times New Roman"/>
          <w:sz w:val="32"/>
          <w:szCs w:val="32"/>
        </w:rPr>
      </w:pPr>
      <w:r>
        <w:rPr>
          <w:rFonts w:ascii="Times New Roman" w:hAnsi="Times New Roman" w:eastAsia="宋体" w:cs="Times New Roman"/>
          <w:sz w:val="32"/>
          <w:szCs w:val="32"/>
        </w:rPr>
        <w:t>六、部门整体支出绩效情况</w:t>
      </w:r>
    </w:p>
    <w:p>
      <w:pPr>
        <w:rPr>
          <w:rFonts w:ascii="Times New Roman" w:hAnsi="Times New Roman" w:eastAsia="宋体" w:cs="Times New Roman"/>
          <w:sz w:val="32"/>
          <w:szCs w:val="32"/>
        </w:rPr>
      </w:pPr>
      <w:r>
        <w:rPr>
          <w:rFonts w:ascii="Times New Roman" w:hAnsi="Times New Roman" w:eastAsia="宋体" w:cs="Times New Roman"/>
          <w:sz w:val="32"/>
          <w:szCs w:val="32"/>
        </w:rPr>
        <w:t>（一）部门产出指标完成情况</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一、坚持党建引领</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我院将意识形态摆在各项工作的首位。在全院党员大会和工作例会上，突出强调教研工作要坚定正确的政治方向，要注重将意识形态渗透到日常教研中，要严格把好讲座、论坛、研讨会、报告会的政治审核关，严控意识形态风险。我院高度重视党风廉政建设。全面压实从严治党主体责任和“一岗双责”，在工作中，强化政治监督，强化制度执行监督，强化“三重一大”和关键领域重点监督，强化廉洁文化建设，坚持纠四风、促学风、正作风。在庆祝中国共产党成立100周年的活动中，我院根据上级党组织安排，做好党的光辉历程宣传、评优评先推荐等系列主题活动，开展“书记讲党史”、“党员学党史”、“多学合一”等学习教育活动，重点结合本单位工作职责，制定了“为民办实事”工作安排，逐一落实每一项工作任务，做到了高标准制定，高效率开展，高质量完成。上半年，我院刘建德、陈延军、刘忠义三位同志根据常德市教育工委安排，为全市各区县市和城区所有学校进行党史教育专题讲座24场，授课内容获得一致好评。</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二、提升教研实效</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全院干部本着“为单位赢得声誉，为个人带来尊严，为教育创造价值”的宗旨，积极主动地开展工作。</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b/>
          <w:bCs/>
          <w:sz w:val="32"/>
          <w:szCs w:val="32"/>
        </w:rPr>
        <w:t>1.深化教研活动</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中学室召开高三复习教学研讨会，全市普高学校高三学科备课组长和教师代表参加会议，九大学科教研员分别组织教师研讨课和复习教学讲座，帮助高三教师把准复习方向，落实教学重点。分学科开展课堂教学研讨，指导教师开展教学设计。中学语文学科在芷兰实验学校举办“湖南省2021年中学语文课堂教学展示与观摩研讨活动”，来自全省的近200名语文教师参会，数万人观看视频直播，活动中的“现场展示”、“教师说课”、“专家讲座”得到与会者高度评价。我院八位教研员（生物暂缺）成为常德市教师工作坊坊主，组织教师经常性开展业务研修，很好地发挥了教研引领作用。</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职教室顺利完成教研联组换届改选。全市共设置教研联组17个，构建了全市20多所公、民办中职学校参与，193名专业或学科骨干教师为成员的教研团队，共组织开展了17次内容丰富、形式多样的教研活动。这些活动既有来自省内外职教专家的高端讲座，又有来自企业技术能手的言传身教，还有本土优秀职业学校和教师的经验分享；既有课堂教学艺术的精彩展示，也有专业核心技能的紧张比拼，还有专业或学科教学领域共同关注的重点、难点及热点问题的研讨交流。这些活动充分展示了我市职业教育教研成果，传递了教改信息，深化了教学思考，促进了教师专业发展，加强了校际交流，推动了教学改革。</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小教室今年先后举行全市“统编教材不同课型下的阅读教学研讨暨评课比赛活动”、“ 基于教学语文关键能力培养的单元整体教学”主题下的教学研讨加专题讲座的学科研讨活动，参赛、观摩教师近900人。另外，举行了一系列录像课评选、微课讲座评选、优质课观摩、思政教师基本功展示、送教下乡等教学研究活动。</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院理论教研员及心理健康教研员刘忠义主持完成了教育专项调研科技支持计划项目《临澧县县域整体推进课题研究情况调研》；完成市科协建言类项目《青少年心理危机干预学校一家庭一医院一社区"四位一体"干预机制的瓶颈与对策；主编了由湖南科技出版社出版的《心理健康教育（七年级）》。</w:t>
      </w:r>
    </w:p>
    <w:p>
      <w:pPr>
        <w:ind w:firstLine="640" w:firstLineChars="200"/>
        <w:jc w:val="left"/>
        <w:rPr>
          <w:rFonts w:ascii="Times New Roman" w:hAnsi="Times New Roman" w:eastAsia="宋体" w:cs="Times New Roman"/>
          <w:b/>
          <w:bCs/>
          <w:sz w:val="32"/>
          <w:szCs w:val="32"/>
        </w:rPr>
      </w:pPr>
      <w:r>
        <w:rPr>
          <w:rFonts w:ascii="Times New Roman" w:hAnsi="Times New Roman" w:eastAsia="宋体" w:cs="Times New Roman"/>
          <w:b/>
          <w:bCs/>
          <w:sz w:val="32"/>
          <w:szCs w:val="32"/>
        </w:rPr>
        <w:t>2.落实教学视导</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中学室开展了对市直中学青年教师的专题视导及对各项活动课例展示的指导。九大学科共组织和参加教研活动355次，听课642节，在提升青年教师教学业务能力和督促落实教学常规方面发挥了积极作用。各教研员都建有个人的博客或网络空间，实时更新教育动态，积极上传最新教学资源，在新高考的方向指导上发挥作用。</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小学室开展了全市小学学科教学视导。先后视导市直及县区小学30余所，推门听课148节次，查看教案286余份，抽查学生作业1000余本，座谈20场。视导组通过听课评课、现场察看、查阅资料、座谈反馈等形式，较全面了解了我市小学课程实施及管理、课程资源及师资队伍建设等情况，帮助学校进一步提高教学管理水平，指导教师进一步提升课课堂教学能力。</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职教室组织开展了全市中等职业学校信息技术类专业教学视导，视导专业主要为计算机应用、计算机平面设计、计算机网络技术、电子技术应用等。视导组从全市中等职业学校抽调6名专业骨干教师分3个批次实行交叉视导，先后视导学校20所，随堂听课120多节，查看教案150多本，抽查学生实训报告500多册，组织召开座谈会20个。在视导交流中，肯定了各校信息技术类专业教学取得的成绩，指出了存在的突出问题，针对性地提出了整改意见和建议，达到了调查了解、指导交流与促进提高的目的。</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b/>
          <w:bCs/>
          <w:sz w:val="32"/>
          <w:szCs w:val="32"/>
        </w:rPr>
        <w:t>3.夯实课题研究</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一是带头研究。全院干部主持专项调研课题12个，其中6个课题已结题。我院教研员共主持或主研、指导课题21项。其中梁开喜老师主持两项课题、主研一项国家级课题。全院干部撰写论文近30篇，其中刘建德老师有6篇，梁开喜、张璟两位老师主编的《让阅读走向科学 》即将出版。</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二是指导研究。规划室组织全市课题主研人员培训，帮助研究人员规范研究程序；组织区县市理论教研员开展业务培训，提高理论水平；认真开展课题评议、中期检查和结题评审工作，落实研究过程，推进成果应用。暑假期间，规划室肖焕之主任在芷兰实验学校为全市高三学生家长作志愿填报指导，讲座内容在全省直播，受到社会好评。</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b/>
          <w:bCs/>
          <w:sz w:val="32"/>
          <w:szCs w:val="32"/>
        </w:rPr>
        <w:t>4.科学命制试题</w:t>
      </w:r>
    </w:p>
    <w:p>
      <w:pPr>
        <w:ind w:firstLine="640" w:firstLineChars="200"/>
        <w:jc w:val="left"/>
        <w:rPr>
          <w:rFonts w:ascii="Times New Roman" w:hAnsi="Times New Roman" w:eastAsia="宋体" w:cs="Times New Roman"/>
          <w:sz w:val="32"/>
          <w:szCs w:val="32"/>
        </w:rPr>
      </w:pPr>
      <w:r>
        <w:rPr>
          <w:rFonts w:ascii="Times New Roman" w:hAnsi="Times New Roman" w:eastAsia="宋体" w:cs="Times New Roman"/>
          <w:sz w:val="32"/>
          <w:szCs w:val="32"/>
        </w:rPr>
        <w:t>中学室全体教研员高质量完成高三模考、高一排位考、初中学业水平考试命题工作，考后及时形成分析报告下发给相关学校，现正在筹备高三协作考试命题工作。12月初，我院梁开喜、刘建德、周文新三位教研员在全省“初中学业水平考试命题培训研讨会”上作经验介绍，报告内容受到与会同行高度评价。</w:t>
      </w:r>
    </w:p>
    <w:p>
      <w:pPr>
        <w:rPr>
          <w:rFonts w:ascii="Times New Roman" w:hAnsi="Times New Roman" w:eastAsia="宋体" w:cs="Times New Roman"/>
          <w:sz w:val="32"/>
          <w:szCs w:val="32"/>
        </w:rPr>
      </w:pPr>
      <w:r>
        <w:rPr>
          <w:rFonts w:ascii="Times New Roman" w:hAnsi="Times New Roman" w:eastAsia="宋体" w:cs="Times New Roman"/>
          <w:sz w:val="32"/>
          <w:szCs w:val="32"/>
        </w:rPr>
        <w:t>七、存在的问题及原因分析</w:t>
      </w:r>
    </w:p>
    <w:p>
      <w:pPr>
        <w:rPr>
          <w:rFonts w:ascii="Times New Roman" w:hAnsi="Times New Roman" w:eastAsia="宋体" w:cs="Times New Roman"/>
          <w:sz w:val="32"/>
          <w:szCs w:val="32"/>
        </w:rPr>
      </w:pPr>
      <w:r>
        <w:rPr>
          <w:rFonts w:ascii="Times New Roman" w:hAnsi="Times New Roman" w:eastAsia="宋体" w:cs="Times New Roman"/>
          <w:sz w:val="32"/>
          <w:szCs w:val="32"/>
        </w:rPr>
        <w:t>（一）存在的问题</w:t>
      </w:r>
    </w:p>
    <w:p>
      <w:pPr>
        <w:rPr>
          <w:rFonts w:ascii="Times New Roman" w:hAnsi="Times New Roman" w:eastAsia="宋体" w:cs="Times New Roman"/>
          <w:sz w:val="32"/>
          <w:szCs w:val="32"/>
        </w:rPr>
      </w:pPr>
      <w:r>
        <w:rPr>
          <w:rFonts w:hint="eastAsia" w:ascii="Times New Roman" w:hAnsi="Times New Roman" w:eastAsia="宋体" w:cs="Times New Roman"/>
          <w:sz w:val="32"/>
          <w:szCs w:val="32"/>
        </w:rPr>
        <w:t>1</w:t>
      </w:r>
      <w:r>
        <w:rPr>
          <w:rFonts w:ascii="Times New Roman" w:hAnsi="Times New Roman" w:eastAsia="宋体" w:cs="Times New Roman"/>
          <w:sz w:val="32"/>
          <w:szCs w:val="32"/>
        </w:rPr>
        <w:t>.绩效目标</w:t>
      </w:r>
      <w:r>
        <w:rPr>
          <w:rFonts w:hint="eastAsia" w:ascii="Times New Roman" w:hAnsi="Times New Roman" w:eastAsia="宋体" w:cs="Times New Roman"/>
          <w:sz w:val="32"/>
          <w:szCs w:val="32"/>
        </w:rPr>
        <w:t>有待更加</w:t>
      </w:r>
      <w:r>
        <w:rPr>
          <w:rFonts w:ascii="Times New Roman" w:hAnsi="Times New Roman" w:eastAsia="宋体" w:cs="Times New Roman"/>
          <w:sz w:val="32"/>
          <w:szCs w:val="32"/>
        </w:rPr>
        <w:t>完整。</w:t>
      </w:r>
    </w:p>
    <w:p>
      <w:pPr>
        <w:rPr>
          <w:rFonts w:ascii="Times New Roman" w:hAnsi="Times New Roman" w:eastAsia="宋体" w:cs="Times New Roman"/>
          <w:sz w:val="32"/>
          <w:szCs w:val="32"/>
        </w:rPr>
      </w:pPr>
      <w:r>
        <w:rPr>
          <w:rFonts w:hint="eastAsia" w:ascii="Times New Roman" w:hAnsi="Times New Roman" w:eastAsia="宋体" w:cs="Times New Roman"/>
          <w:sz w:val="32"/>
          <w:szCs w:val="32"/>
        </w:rPr>
        <w:t>2</w:t>
      </w:r>
      <w:r>
        <w:rPr>
          <w:rFonts w:ascii="Times New Roman" w:hAnsi="Times New Roman" w:eastAsia="宋体" w:cs="Times New Roman"/>
          <w:sz w:val="32"/>
          <w:szCs w:val="32"/>
        </w:rPr>
        <w:t>.制度建设</w:t>
      </w:r>
      <w:r>
        <w:rPr>
          <w:rFonts w:hint="eastAsia" w:ascii="Times New Roman" w:hAnsi="Times New Roman" w:eastAsia="宋体" w:cs="Times New Roman"/>
          <w:sz w:val="32"/>
          <w:szCs w:val="32"/>
        </w:rPr>
        <w:t>有待更加</w:t>
      </w:r>
      <w:r>
        <w:rPr>
          <w:rFonts w:ascii="Times New Roman" w:hAnsi="Times New Roman" w:eastAsia="宋体" w:cs="Times New Roman"/>
          <w:sz w:val="32"/>
          <w:szCs w:val="32"/>
        </w:rPr>
        <w:t>完善</w:t>
      </w:r>
      <w:r>
        <w:rPr>
          <w:rFonts w:hint="eastAsia" w:ascii="Times New Roman" w:hAnsi="Times New Roman" w:eastAsia="宋体" w:cs="Times New Roman"/>
          <w:sz w:val="32"/>
          <w:szCs w:val="32"/>
        </w:rPr>
        <w:t>。</w:t>
      </w:r>
    </w:p>
    <w:p>
      <w:pPr>
        <w:rPr>
          <w:rFonts w:ascii="Times New Roman" w:hAnsi="Times New Roman" w:eastAsia="宋体" w:cs="Times New Roman"/>
          <w:sz w:val="32"/>
          <w:szCs w:val="32"/>
        </w:rPr>
      </w:pPr>
      <w:r>
        <w:rPr>
          <w:rFonts w:ascii="Times New Roman" w:hAnsi="Times New Roman" w:eastAsia="宋体" w:cs="Times New Roman"/>
          <w:sz w:val="32"/>
          <w:szCs w:val="32"/>
        </w:rPr>
        <w:t>（二）原因分析</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与业务部门衔接度不高，未联合相关部门制定</w:t>
      </w:r>
      <w:r>
        <w:rPr>
          <w:rFonts w:hint="eastAsia" w:ascii="Times New Roman" w:hAnsi="Times New Roman" w:eastAsia="宋体" w:cs="Times New Roman"/>
          <w:sz w:val="32"/>
          <w:szCs w:val="32"/>
        </w:rPr>
        <w:t>绩效目标及</w:t>
      </w:r>
      <w:r>
        <w:rPr>
          <w:rFonts w:ascii="Times New Roman" w:hAnsi="Times New Roman" w:eastAsia="宋体" w:cs="Times New Roman"/>
          <w:sz w:val="32"/>
          <w:szCs w:val="32"/>
        </w:rPr>
        <w:t>管理制度。</w:t>
      </w:r>
    </w:p>
    <w:p>
      <w:pPr>
        <w:rPr>
          <w:rFonts w:ascii="Times New Roman" w:hAnsi="Times New Roman" w:eastAsia="宋体" w:cs="Times New Roman"/>
          <w:sz w:val="32"/>
          <w:szCs w:val="32"/>
        </w:rPr>
      </w:pPr>
      <w:r>
        <w:rPr>
          <w:rFonts w:ascii="Times New Roman" w:hAnsi="Times New Roman" w:eastAsia="宋体" w:cs="Times New Roman"/>
          <w:sz w:val="32"/>
          <w:szCs w:val="32"/>
        </w:rPr>
        <w:t>八、下一步改进措施</w:t>
      </w:r>
    </w:p>
    <w:p>
      <w:pPr>
        <w:rPr>
          <w:rFonts w:ascii="Times New Roman" w:hAnsi="Times New Roman" w:eastAsia="宋体" w:cs="Times New Roman"/>
          <w:sz w:val="32"/>
          <w:szCs w:val="32"/>
        </w:rPr>
      </w:pPr>
      <w:r>
        <w:rPr>
          <w:rFonts w:ascii="Times New Roman" w:hAnsi="Times New Roman" w:eastAsia="宋体" w:cs="Times New Roman"/>
          <w:sz w:val="32"/>
          <w:szCs w:val="32"/>
        </w:rPr>
        <w:t>（一）完整申报绩效目标</w:t>
      </w:r>
    </w:p>
    <w:p>
      <w:pPr>
        <w:ind w:firstLine="640" w:firstLineChars="200"/>
        <w:rPr>
          <w:rFonts w:ascii="Times New Roman" w:hAnsi="Times New Roman" w:eastAsia="宋体" w:cs="Times New Roman"/>
          <w:sz w:val="32"/>
          <w:szCs w:val="32"/>
        </w:rPr>
      </w:pPr>
      <w:r>
        <w:rPr>
          <w:rFonts w:hint="eastAsia" w:ascii="Times New Roman" w:hAnsi="Times New Roman" w:eastAsia="宋体" w:cs="Times New Roman"/>
          <w:sz w:val="32"/>
          <w:szCs w:val="32"/>
        </w:rPr>
        <w:t>今后</w:t>
      </w:r>
      <w:r>
        <w:rPr>
          <w:rFonts w:ascii="Times New Roman" w:hAnsi="Times New Roman" w:eastAsia="宋体" w:cs="Times New Roman"/>
          <w:sz w:val="32"/>
          <w:szCs w:val="32"/>
        </w:rPr>
        <w:t>单位将根据当年工作计划科学、完整的申报绩效目标。</w:t>
      </w:r>
    </w:p>
    <w:p>
      <w:pPr>
        <w:rPr>
          <w:rFonts w:ascii="Times New Roman" w:hAnsi="Times New Roman" w:eastAsia="宋体" w:cs="Times New Roman"/>
          <w:sz w:val="32"/>
          <w:szCs w:val="32"/>
        </w:rPr>
      </w:pPr>
      <w:r>
        <w:rPr>
          <w:rFonts w:ascii="Times New Roman" w:hAnsi="Times New Roman" w:eastAsia="宋体" w:cs="Times New Roman"/>
          <w:sz w:val="32"/>
          <w:szCs w:val="32"/>
        </w:rPr>
        <w:t>（</w:t>
      </w:r>
      <w:r>
        <w:rPr>
          <w:rFonts w:hint="eastAsia" w:ascii="Times New Roman" w:hAnsi="Times New Roman" w:eastAsia="宋体" w:cs="Times New Roman"/>
          <w:sz w:val="32"/>
          <w:szCs w:val="32"/>
        </w:rPr>
        <w:t>二</w:t>
      </w:r>
      <w:r>
        <w:rPr>
          <w:rFonts w:ascii="Times New Roman" w:hAnsi="Times New Roman" w:eastAsia="宋体" w:cs="Times New Roman"/>
          <w:sz w:val="32"/>
          <w:szCs w:val="32"/>
        </w:rPr>
        <w:t>）加强制度建设</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我单位将联合相关业务科室制定管理制度，提供制度依据，提高项目效益。</w:t>
      </w:r>
    </w:p>
    <w:p>
      <w:pPr>
        <w:rPr>
          <w:rFonts w:ascii="Times New Roman" w:hAnsi="Times New Roman" w:eastAsia="宋体" w:cs="Times New Roman"/>
          <w:sz w:val="32"/>
          <w:szCs w:val="32"/>
        </w:rPr>
      </w:pPr>
      <w:r>
        <w:rPr>
          <w:rFonts w:ascii="Times New Roman" w:hAnsi="Times New Roman" w:eastAsia="宋体" w:cs="Times New Roman"/>
          <w:sz w:val="32"/>
          <w:szCs w:val="32"/>
        </w:rPr>
        <w:t>九、部门整体支出绩效自评结果拟应用和公开情况</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根据市财政相关部门统一部署，我单位2021年部门整体支出绩效自评情况将在门户网站公开，接受社会监督。对绩效自评工作中发现的问题及时整改，解决</w:t>
      </w:r>
      <w:r>
        <w:rPr>
          <w:rFonts w:hint="eastAsia" w:ascii="Times New Roman" w:hAnsi="Times New Roman" w:eastAsia="宋体" w:cs="Times New Roman"/>
          <w:sz w:val="32"/>
          <w:szCs w:val="32"/>
        </w:rPr>
        <w:t>存在</w:t>
      </w:r>
      <w:r>
        <w:rPr>
          <w:rFonts w:ascii="Times New Roman" w:hAnsi="Times New Roman" w:eastAsia="宋体" w:cs="Times New Roman"/>
          <w:sz w:val="32"/>
          <w:szCs w:val="32"/>
        </w:rPr>
        <w:t>问题，提高工作效能。</w:t>
      </w:r>
    </w:p>
    <w:sectPr>
      <w:pgSz w:w="11906" w:h="16838"/>
      <w:pgMar w:top="2154" w:right="1531" w:bottom="2154" w:left="1531" w:header="851" w:footer="992" w:gutter="0"/>
      <w:cols w:space="0" w:num="1"/>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0NTM4ODRlN2U3MTdmYTY3OGVlNDBhOGRkMDYxYzkifQ=="/>
  </w:docVars>
  <w:rsids>
    <w:rsidRoot w:val="004506F9"/>
    <w:rsid w:val="0002229B"/>
    <w:rsid w:val="0002651D"/>
    <w:rsid w:val="000273BD"/>
    <w:rsid w:val="000415B7"/>
    <w:rsid w:val="00041E3F"/>
    <w:rsid w:val="00055DAA"/>
    <w:rsid w:val="00057AF1"/>
    <w:rsid w:val="00061F7B"/>
    <w:rsid w:val="000658A3"/>
    <w:rsid w:val="00074155"/>
    <w:rsid w:val="00077F29"/>
    <w:rsid w:val="000873EF"/>
    <w:rsid w:val="000A0229"/>
    <w:rsid w:val="000A3121"/>
    <w:rsid w:val="000A3F69"/>
    <w:rsid w:val="000C6343"/>
    <w:rsid w:val="000D7CC1"/>
    <w:rsid w:val="00103957"/>
    <w:rsid w:val="00124A1F"/>
    <w:rsid w:val="00143C26"/>
    <w:rsid w:val="00152C6D"/>
    <w:rsid w:val="00162D39"/>
    <w:rsid w:val="00164526"/>
    <w:rsid w:val="001678BD"/>
    <w:rsid w:val="00172F26"/>
    <w:rsid w:val="00176F37"/>
    <w:rsid w:val="00182373"/>
    <w:rsid w:val="001A67DB"/>
    <w:rsid w:val="001B65F9"/>
    <w:rsid w:val="001C3C29"/>
    <w:rsid w:val="001D51E5"/>
    <w:rsid w:val="001E080D"/>
    <w:rsid w:val="001E53D0"/>
    <w:rsid w:val="001F0C3B"/>
    <w:rsid w:val="00202C14"/>
    <w:rsid w:val="00202C82"/>
    <w:rsid w:val="00214427"/>
    <w:rsid w:val="002162FC"/>
    <w:rsid w:val="00226CB7"/>
    <w:rsid w:val="00264552"/>
    <w:rsid w:val="00264EF9"/>
    <w:rsid w:val="00265724"/>
    <w:rsid w:val="0027426B"/>
    <w:rsid w:val="00290DE4"/>
    <w:rsid w:val="002A35A1"/>
    <w:rsid w:val="002E0A30"/>
    <w:rsid w:val="002F237E"/>
    <w:rsid w:val="002F5C19"/>
    <w:rsid w:val="003130C4"/>
    <w:rsid w:val="00316C4B"/>
    <w:rsid w:val="0032192B"/>
    <w:rsid w:val="003479BD"/>
    <w:rsid w:val="0037197D"/>
    <w:rsid w:val="003768D5"/>
    <w:rsid w:val="003C0F1D"/>
    <w:rsid w:val="003C4197"/>
    <w:rsid w:val="003C47E6"/>
    <w:rsid w:val="003C4FC2"/>
    <w:rsid w:val="003D3891"/>
    <w:rsid w:val="003E2331"/>
    <w:rsid w:val="003E4D91"/>
    <w:rsid w:val="003E62C2"/>
    <w:rsid w:val="00416E61"/>
    <w:rsid w:val="0042790C"/>
    <w:rsid w:val="004506F9"/>
    <w:rsid w:val="0046111E"/>
    <w:rsid w:val="004717A2"/>
    <w:rsid w:val="00473DF3"/>
    <w:rsid w:val="004831DD"/>
    <w:rsid w:val="004839B6"/>
    <w:rsid w:val="00487911"/>
    <w:rsid w:val="00491741"/>
    <w:rsid w:val="004B0CEE"/>
    <w:rsid w:val="004F6D3C"/>
    <w:rsid w:val="00500E5F"/>
    <w:rsid w:val="005122EF"/>
    <w:rsid w:val="0051441A"/>
    <w:rsid w:val="00517C33"/>
    <w:rsid w:val="00517D5F"/>
    <w:rsid w:val="00521AF2"/>
    <w:rsid w:val="00523644"/>
    <w:rsid w:val="005309F6"/>
    <w:rsid w:val="0053311A"/>
    <w:rsid w:val="0054069E"/>
    <w:rsid w:val="00544866"/>
    <w:rsid w:val="005767CC"/>
    <w:rsid w:val="00590D9F"/>
    <w:rsid w:val="00595D26"/>
    <w:rsid w:val="005A74E6"/>
    <w:rsid w:val="005B404E"/>
    <w:rsid w:val="005D4D55"/>
    <w:rsid w:val="005E2CFB"/>
    <w:rsid w:val="005F2103"/>
    <w:rsid w:val="005F3D1C"/>
    <w:rsid w:val="00606750"/>
    <w:rsid w:val="006173CB"/>
    <w:rsid w:val="00621C24"/>
    <w:rsid w:val="0062378F"/>
    <w:rsid w:val="00623D9A"/>
    <w:rsid w:val="00641842"/>
    <w:rsid w:val="0064289A"/>
    <w:rsid w:val="00651EEC"/>
    <w:rsid w:val="00677CA3"/>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6219"/>
    <w:rsid w:val="00727A53"/>
    <w:rsid w:val="007546F7"/>
    <w:rsid w:val="00787B42"/>
    <w:rsid w:val="00790CDA"/>
    <w:rsid w:val="007A2DEF"/>
    <w:rsid w:val="007A3AC8"/>
    <w:rsid w:val="007A43BB"/>
    <w:rsid w:val="007B2321"/>
    <w:rsid w:val="007C4539"/>
    <w:rsid w:val="007F3657"/>
    <w:rsid w:val="0081196A"/>
    <w:rsid w:val="00812ED5"/>
    <w:rsid w:val="00823638"/>
    <w:rsid w:val="008277D9"/>
    <w:rsid w:val="00836F96"/>
    <w:rsid w:val="0084478C"/>
    <w:rsid w:val="0086638C"/>
    <w:rsid w:val="00895589"/>
    <w:rsid w:val="008A3E8D"/>
    <w:rsid w:val="008E4FB2"/>
    <w:rsid w:val="008F4C7A"/>
    <w:rsid w:val="008F561F"/>
    <w:rsid w:val="0091682E"/>
    <w:rsid w:val="009237C4"/>
    <w:rsid w:val="00934EF0"/>
    <w:rsid w:val="00944C48"/>
    <w:rsid w:val="00950252"/>
    <w:rsid w:val="00967F5D"/>
    <w:rsid w:val="009718F0"/>
    <w:rsid w:val="009A02CD"/>
    <w:rsid w:val="009A0F95"/>
    <w:rsid w:val="009B3ADF"/>
    <w:rsid w:val="009C3B52"/>
    <w:rsid w:val="009C4C49"/>
    <w:rsid w:val="009E6817"/>
    <w:rsid w:val="009E6E9A"/>
    <w:rsid w:val="00A01D2B"/>
    <w:rsid w:val="00A07EEC"/>
    <w:rsid w:val="00A14A43"/>
    <w:rsid w:val="00A3516B"/>
    <w:rsid w:val="00A42218"/>
    <w:rsid w:val="00A70249"/>
    <w:rsid w:val="00A70B02"/>
    <w:rsid w:val="00A71D9F"/>
    <w:rsid w:val="00A92E9F"/>
    <w:rsid w:val="00AD3298"/>
    <w:rsid w:val="00B04FAA"/>
    <w:rsid w:val="00B213B4"/>
    <w:rsid w:val="00B33BEA"/>
    <w:rsid w:val="00B46328"/>
    <w:rsid w:val="00B57C9F"/>
    <w:rsid w:val="00B608F7"/>
    <w:rsid w:val="00B6165C"/>
    <w:rsid w:val="00B63572"/>
    <w:rsid w:val="00B806DD"/>
    <w:rsid w:val="00B845B3"/>
    <w:rsid w:val="00B85D8B"/>
    <w:rsid w:val="00B87BA8"/>
    <w:rsid w:val="00BB4A40"/>
    <w:rsid w:val="00BD26E0"/>
    <w:rsid w:val="00BD6C3E"/>
    <w:rsid w:val="00BE3674"/>
    <w:rsid w:val="00C10681"/>
    <w:rsid w:val="00C25A03"/>
    <w:rsid w:val="00C3049A"/>
    <w:rsid w:val="00C31B1E"/>
    <w:rsid w:val="00C41765"/>
    <w:rsid w:val="00C43B3D"/>
    <w:rsid w:val="00C77645"/>
    <w:rsid w:val="00CD4D70"/>
    <w:rsid w:val="00CE04C3"/>
    <w:rsid w:val="00CE76A0"/>
    <w:rsid w:val="00D148C6"/>
    <w:rsid w:val="00D17A8A"/>
    <w:rsid w:val="00D415BA"/>
    <w:rsid w:val="00D56ABA"/>
    <w:rsid w:val="00D63780"/>
    <w:rsid w:val="00D644EE"/>
    <w:rsid w:val="00D71241"/>
    <w:rsid w:val="00D75489"/>
    <w:rsid w:val="00DD06FF"/>
    <w:rsid w:val="00DD5FE9"/>
    <w:rsid w:val="00DE71F3"/>
    <w:rsid w:val="00E00C7A"/>
    <w:rsid w:val="00E209CF"/>
    <w:rsid w:val="00E26AD4"/>
    <w:rsid w:val="00E37D6C"/>
    <w:rsid w:val="00E55B68"/>
    <w:rsid w:val="00E67BE6"/>
    <w:rsid w:val="00E8683C"/>
    <w:rsid w:val="00E952A2"/>
    <w:rsid w:val="00EA2B72"/>
    <w:rsid w:val="00EA51A9"/>
    <w:rsid w:val="00EB5B60"/>
    <w:rsid w:val="00EE6ABE"/>
    <w:rsid w:val="00F075A9"/>
    <w:rsid w:val="00F4481F"/>
    <w:rsid w:val="00F53D1D"/>
    <w:rsid w:val="00F74360"/>
    <w:rsid w:val="00F83C54"/>
    <w:rsid w:val="00F935FB"/>
    <w:rsid w:val="00FB462F"/>
    <w:rsid w:val="00FE16FA"/>
    <w:rsid w:val="00FE328A"/>
    <w:rsid w:val="00FE6269"/>
    <w:rsid w:val="00FF5CD6"/>
    <w:rsid w:val="01856BDE"/>
    <w:rsid w:val="02A77391"/>
    <w:rsid w:val="03D94883"/>
    <w:rsid w:val="0A596A77"/>
    <w:rsid w:val="0D425D8B"/>
    <w:rsid w:val="0DA75531"/>
    <w:rsid w:val="0FE54E95"/>
    <w:rsid w:val="1415565E"/>
    <w:rsid w:val="14536FF2"/>
    <w:rsid w:val="159D40C7"/>
    <w:rsid w:val="17BA1946"/>
    <w:rsid w:val="1AA619A6"/>
    <w:rsid w:val="1C5B564F"/>
    <w:rsid w:val="1F893D4B"/>
    <w:rsid w:val="21922704"/>
    <w:rsid w:val="225C6436"/>
    <w:rsid w:val="26D81576"/>
    <w:rsid w:val="285D15A5"/>
    <w:rsid w:val="29983D23"/>
    <w:rsid w:val="2C565018"/>
    <w:rsid w:val="2D3A366B"/>
    <w:rsid w:val="317F1055"/>
    <w:rsid w:val="31987E08"/>
    <w:rsid w:val="32973538"/>
    <w:rsid w:val="33B30553"/>
    <w:rsid w:val="35B95783"/>
    <w:rsid w:val="360B1BCE"/>
    <w:rsid w:val="36623D7B"/>
    <w:rsid w:val="36971F00"/>
    <w:rsid w:val="3E834AC1"/>
    <w:rsid w:val="3F1C2956"/>
    <w:rsid w:val="410B7392"/>
    <w:rsid w:val="448307F2"/>
    <w:rsid w:val="48D81887"/>
    <w:rsid w:val="4A3D4D12"/>
    <w:rsid w:val="4AB22AE7"/>
    <w:rsid w:val="4CE55859"/>
    <w:rsid w:val="50BF4EA5"/>
    <w:rsid w:val="57727743"/>
    <w:rsid w:val="61C33220"/>
    <w:rsid w:val="64183371"/>
    <w:rsid w:val="64451A89"/>
    <w:rsid w:val="67D964EE"/>
    <w:rsid w:val="68FF1815"/>
    <w:rsid w:val="698750FB"/>
    <w:rsid w:val="6C4B5347"/>
    <w:rsid w:val="6CA1384A"/>
    <w:rsid w:val="6FA67561"/>
    <w:rsid w:val="729F0F46"/>
    <w:rsid w:val="799E1786"/>
    <w:rsid w:val="79B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0">
    <w:name w:val="列出段落1"/>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List Paragraph1"/>
    <w:basedOn w:val="1"/>
    <w:qFormat/>
    <w:uiPriority w:val="0"/>
    <w:pPr>
      <w:ind w:firstLine="420" w:firstLineChars="200"/>
    </w:p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8C28-81C0-4F35-A425-FA4D883F98C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2501</Words>
  <Characters>14261</Characters>
  <Lines>118</Lines>
  <Paragraphs>33</Paragraphs>
  <TotalTime>15</TotalTime>
  <ScaleCrop>false</ScaleCrop>
  <LinksUpToDate>false</LinksUpToDate>
  <CharactersWithSpaces>16729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周游</cp:lastModifiedBy>
  <cp:lastPrinted>2022-09-22T07:38:00Z</cp:lastPrinted>
  <dcterms:modified xsi:type="dcterms:W3CDTF">2023-09-25T10:31:13Z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B09113068EF840229347C1CE4704E488</vt:lpwstr>
  </property>
</Properties>
</file>